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A9A4C" w14:textId="17812B20" w:rsidR="006463F4" w:rsidRPr="00883FC0" w:rsidRDefault="00B46397" w:rsidP="00A0712B">
      <w:pPr>
        <w:spacing w:after="0" w:line="360" w:lineRule="auto"/>
        <w:jc w:val="both"/>
        <w:rPr>
          <w:rFonts w:ascii="Arial" w:hAnsi="Arial" w:cs="Arial"/>
          <w:b/>
          <w:color w:val="404040" w:themeColor="text1" w:themeTint="BF"/>
          <w:sz w:val="48"/>
          <w:szCs w:val="32"/>
          <w:lang w:val="en-US"/>
        </w:rPr>
      </w:pPr>
      <w:r w:rsidRPr="00883FC0">
        <w:rPr>
          <w:rFonts w:ascii="Arial" w:hAnsi="Arial" w:cs="Arial"/>
          <w:b/>
          <w:color w:val="404040" w:themeColor="text1" w:themeTint="BF"/>
          <w:sz w:val="48"/>
          <w:szCs w:val="32"/>
          <w:lang w:val="en-US"/>
        </w:rPr>
        <w:t>Cross-transmission of resistant gastrointestinal nematodes between wildlife and transhumant sheep</w:t>
      </w:r>
    </w:p>
    <w:p w14:paraId="37EA74EC" w14:textId="77777777" w:rsidR="00274888" w:rsidRPr="00883FC0" w:rsidRDefault="00274888" w:rsidP="00A0712B">
      <w:pPr>
        <w:spacing w:after="0" w:line="360" w:lineRule="auto"/>
        <w:jc w:val="both"/>
        <w:rPr>
          <w:rFonts w:ascii="Arial" w:hAnsi="Arial" w:cs="Arial"/>
          <w:sz w:val="32"/>
          <w:szCs w:val="32"/>
          <w:lang w:val="en-US"/>
        </w:rPr>
      </w:pPr>
    </w:p>
    <w:p w14:paraId="711E9A01" w14:textId="5B4AD3B4" w:rsidR="000D2AEA" w:rsidRPr="00883FC0" w:rsidRDefault="000D2AEA" w:rsidP="00A0712B">
      <w:pPr>
        <w:spacing w:after="0" w:line="360" w:lineRule="auto"/>
        <w:jc w:val="both"/>
        <w:rPr>
          <w:rFonts w:ascii="Arial" w:hAnsi="Arial" w:cs="Arial"/>
          <w:sz w:val="32"/>
          <w:szCs w:val="24"/>
          <w:vertAlign w:val="superscript"/>
          <w:lang w:val="en-US"/>
        </w:rPr>
      </w:pPr>
      <w:r w:rsidRPr="00883FC0">
        <w:rPr>
          <w:rFonts w:ascii="Arial" w:hAnsi="Arial" w:cs="Arial"/>
          <w:sz w:val="32"/>
          <w:szCs w:val="24"/>
          <w:lang w:val="en-US"/>
        </w:rPr>
        <w:t>Camille Beaumelle</w:t>
      </w:r>
      <w:r w:rsidRPr="00883FC0">
        <w:rPr>
          <w:rFonts w:ascii="Arial" w:hAnsi="Arial" w:cs="Arial"/>
          <w:sz w:val="32"/>
          <w:szCs w:val="24"/>
          <w:vertAlign w:val="superscript"/>
          <w:lang w:val="en-US"/>
        </w:rPr>
        <w:t>a,b,c,1,*</w:t>
      </w:r>
      <w:r w:rsidRPr="00883FC0">
        <w:rPr>
          <w:rFonts w:ascii="Arial" w:hAnsi="Arial" w:cs="Arial"/>
          <w:sz w:val="32"/>
          <w:szCs w:val="24"/>
          <w:lang w:val="en-US"/>
        </w:rPr>
        <w:t>,</w:t>
      </w:r>
      <w:r w:rsidRPr="00883FC0">
        <w:rPr>
          <w:rFonts w:ascii="Arial" w:hAnsi="Arial" w:cs="Arial"/>
          <w:color w:val="000000"/>
          <w:sz w:val="32"/>
          <w:szCs w:val="24"/>
          <w:lang w:val="en-US"/>
        </w:rPr>
        <w:t xml:space="preserve"> </w:t>
      </w:r>
      <w:r w:rsidR="00990025" w:rsidRPr="00883FC0">
        <w:rPr>
          <w:rFonts w:ascii="Arial" w:hAnsi="Arial" w:cs="Arial"/>
          <w:color w:val="000000"/>
          <w:sz w:val="32"/>
          <w:szCs w:val="24"/>
          <w:lang w:val="en-US"/>
        </w:rPr>
        <w:t xml:space="preserve">Carole </w:t>
      </w:r>
      <w:proofErr w:type="spellStart"/>
      <w:r w:rsidR="00990025" w:rsidRPr="00883FC0">
        <w:rPr>
          <w:rFonts w:ascii="Arial" w:hAnsi="Arial" w:cs="Arial"/>
          <w:color w:val="000000"/>
          <w:sz w:val="32"/>
          <w:szCs w:val="24"/>
          <w:lang w:val="en-US"/>
        </w:rPr>
        <w:t>Toïgo</w:t>
      </w:r>
      <w:r w:rsidR="00990025" w:rsidRPr="00883FC0">
        <w:rPr>
          <w:rFonts w:ascii="Arial" w:hAnsi="Arial" w:cs="Arial"/>
          <w:color w:val="000000"/>
          <w:sz w:val="32"/>
          <w:szCs w:val="24"/>
          <w:vertAlign w:val="superscript"/>
          <w:lang w:val="en-US"/>
        </w:rPr>
        <w:t>d</w:t>
      </w:r>
      <w:proofErr w:type="spellEnd"/>
      <w:r w:rsidR="0032613C" w:rsidRPr="00883FC0">
        <w:rPr>
          <w:rFonts w:ascii="Arial" w:hAnsi="Arial" w:cs="Arial"/>
          <w:color w:val="000000"/>
          <w:sz w:val="32"/>
          <w:szCs w:val="24"/>
          <w:lang w:val="en-US"/>
        </w:rPr>
        <w:t>,</w:t>
      </w:r>
      <w:r w:rsidR="00990025" w:rsidRPr="00883FC0">
        <w:rPr>
          <w:rFonts w:ascii="Arial" w:hAnsi="Arial" w:cs="Arial"/>
          <w:sz w:val="32"/>
          <w:szCs w:val="24"/>
          <w:lang w:val="en-US"/>
        </w:rPr>
        <w:t xml:space="preserve"> R</w:t>
      </w:r>
      <w:r w:rsidR="00990025" w:rsidRPr="00883FC0">
        <w:rPr>
          <w:rFonts w:ascii="Arial" w:hAnsi="Arial" w:cs="Arial"/>
          <w:color w:val="000000"/>
          <w:sz w:val="32"/>
          <w:szCs w:val="24"/>
          <w:lang w:val="en-US"/>
        </w:rPr>
        <w:t xml:space="preserve">odolphe </w:t>
      </w:r>
      <w:proofErr w:type="spellStart"/>
      <w:r w:rsidR="00990025" w:rsidRPr="00883FC0">
        <w:rPr>
          <w:rFonts w:ascii="Arial" w:hAnsi="Arial" w:cs="Arial"/>
          <w:color w:val="000000"/>
          <w:sz w:val="32"/>
          <w:szCs w:val="24"/>
          <w:lang w:val="en-US"/>
        </w:rPr>
        <w:t>Papet</w:t>
      </w:r>
      <w:r w:rsidR="00990025" w:rsidRPr="00883FC0">
        <w:rPr>
          <w:rFonts w:ascii="Arial" w:hAnsi="Arial" w:cs="Arial"/>
          <w:color w:val="000000"/>
          <w:sz w:val="32"/>
          <w:szCs w:val="24"/>
          <w:vertAlign w:val="superscript"/>
          <w:lang w:val="en-US"/>
        </w:rPr>
        <w:t>e</w:t>
      </w:r>
      <w:proofErr w:type="spellEnd"/>
      <w:r w:rsidR="00990025" w:rsidRPr="00883FC0">
        <w:rPr>
          <w:rFonts w:ascii="Arial" w:hAnsi="Arial" w:cs="Arial"/>
          <w:color w:val="000000"/>
          <w:sz w:val="32"/>
          <w:szCs w:val="24"/>
          <w:lang w:val="en-US"/>
        </w:rPr>
        <w:t xml:space="preserve">, </w:t>
      </w:r>
      <w:proofErr w:type="spellStart"/>
      <w:r w:rsidRPr="00883FC0">
        <w:rPr>
          <w:rFonts w:ascii="Arial" w:hAnsi="Arial" w:cs="Arial"/>
          <w:sz w:val="32"/>
          <w:szCs w:val="24"/>
          <w:lang w:val="en-US"/>
        </w:rPr>
        <w:t>Slimania</w:t>
      </w:r>
      <w:proofErr w:type="spellEnd"/>
      <w:r w:rsidRPr="00883FC0">
        <w:rPr>
          <w:rFonts w:ascii="Arial" w:hAnsi="Arial" w:cs="Arial"/>
          <w:sz w:val="32"/>
          <w:szCs w:val="24"/>
          <w:lang w:val="en-US"/>
        </w:rPr>
        <w:t xml:space="preserve"> </w:t>
      </w:r>
      <w:proofErr w:type="spellStart"/>
      <w:r w:rsidRPr="00883FC0">
        <w:rPr>
          <w:rFonts w:ascii="Arial" w:hAnsi="Arial" w:cs="Arial"/>
          <w:sz w:val="32"/>
          <w:szCs w:val="24"/>
          <w:lang w:val="en-US"/>
        </w:rPr>
        <w:t>Benabed</w:t>
      </w:r>
      <w:r w:rsidRPr="00883FC0">
        <w:rPr>
          <w:rFonts w:ascii="Arial" w:hAnsi="Arial" w:cs="Arial"/>
          <w:sz w:val="32"/>
          <w:szCs w:val="24"/>
          <w:vertAlign w:val="superscript"/>
          <w:lang w:val="en-US"/>
        </w:rPr>
        <w:t>a,b</w:t>
      </w:r>
      <w:proofErr w:type="spellEnd"/>
      <w:r w:rsidRPr="00883FC0">
        <w:rPr>
          <w:rFonts w:ascii="Arial" w:hAnsi="Arial" w:cs="Arial"/>
          <w:sz w:val="32"/>
          <w:szCs w:val="24"/>
          <w:lang w:val="en-US"/>
        </w:rPr>
        <w:t>,</w:t>
      </w:r>
      <w:r w:rsidR="00990025" w:rsidRPr="00883FC0">
        <w:rPr>
          <w:rFonts w:ascii="Arial" w:hAnsi="Arial" w:cs="Arial"/>
          <w:color w:val="000000"/>
          <w:sz w:val="32"/>
          <w:szCs w:val="24"/>
          <w:lang w:val="en-US"/>
        </w:rPr>
        <w:t xml:space="preserve"> Mathieu </w:t>
      </w:r>
      <w:proofErr w:type="spellStart"/>
      <w:r w:rsidR="00990025" w:rsidRPr="00883FC0">
        <w:rPr>
          <w:rFonts w:ascii="Arial" w:hAnsi="Arial" w:cs="Arial"/>
          <w:color w:val="000000"/>
          <w:sz w:val="32"/>
          <w:szCs w:val="24"/>
          <w:lang w:val="en-US"/>
        </w:rPr>
        <w:t>Beurier</w:t>
      </w:r>
      <w:r w:rsidR="00990025" w:rsidRPr="00883FC0">
        <w:rPr>
          <w:rFonts w:ascii="Arial" w:hAnsi="Arial" w:cs="Arial"/>
          <w:color w:val="000000"/>
          <w:sz w:val="32"/>
          <w:szCs w:val="24"/>
          <w:vertAlign w:val="superscript"/>
          <w:lang w:val="en-US"/>
        </w:rPr>
        <w:t>d</w:t>
      </w:r>
      <w:proofErr w:type="spellEnd"/>
      <w:r w:rsidR="00990025" w:rsidRPr="00883FC0">
        <w:rPr>
          <w:rFonts w:ascii="Arial" w:hAnsi="Arial" w:cs="Arial"/>
          <w:color w:val="000000"/>
          <w:sz w:val="32"/>
          <w:szCs w:val="24"/>
          <w:lang w:val="en-US"/>
        </w:rPr>
        <w:t>,</w:t>
      </w:r>
      <w:r w:rsidRPr="00883FC0">
        <w:rPr>
          <w:rFonts w:ascii="Arial" w:hAnsi="Arial" w:cs="Arial"/>
          <w:sz w:val="32"/>
          <w:szCs w:val="24"/>
          <w:lang w:val="en-US"/>
        </w:rPr>
        <w:t xml:space="preserve"> </w:t>
      </w:r>
      <w:r w:rsidRPr="00883FC0">
        <w:rPr>
          <w:rFonts w:ascii="Arial" w:hAnsi="Arial" w:cs="Arial"/>
          <w:color w:val="000000"/>
          <w:sz w:val="32"/>
          <w:szCs w:val="24"/>
          <w:lang w:val="en-US"/>
        </w:rPr>
        <w:t xml:space="preserve">Léa </w:t>
      </w:r>
      <w:proofErr w:type="spellStart"/>
      <w:r w:rsidRPr="00883FC0">
        <w:rPr>
          <w:rFonts w:ascii="Arial" w:hAnsi="Arial" w:cs="Arial"/>
          <w:color w:val="000000"/>
          <w:sz w:val="32"/>
          <w:szCs w:val="24"/>
          <w:lang w:val="en-US"/>
        </w:rPr>
        <w:t>Bordes</w:t>
      </w:r>
      <w:r w:rsidRPr="00883FC0">
        <w:rPr>
          <w:rFonts w:ascii="Arial" w:hAnsi="Arial" w:cs="Arial"/>
          <w:color w:val="000000"/>
          <w:sz w:val="32"/>
          <w:szCs w:val="24"/>
          <w:vertAlign w:val="superscript"/>
          <w:lang w:val="en-US"/>
        </w:rPr>
        <w:t>f</w:t>
      </w:r>
      <w:proofErr w:type="spellEnd"/>
      <w:r w:rsidRPr="00883FC0">
        <w:rPr>
          <w:rFonts w:ascii="Arial" w:hAnsi="Arial" w:cs="Arial"/>
          <w:color w:val="000000"/>
          <w:sz w:val="32"/>
          <w:szCs w:val="24"/>
          <w:lang w:val="en-US"/>
        </w:rPr>
        <w:t xml:space="preserve">, Anaïs </w:t>
      </w:r>
      <w:proofErr w:type="spellStart"/>
      <w:r w:rsidRPr="00883FC0">
        <w:rPr>
          <w:rFonts w:ascii="Arial" w:hAnsi="Arial" w:cs="Arial"/>
          <w:color w:val="000000"/>
          <w:sz w:val="32"/>
          <w:szCs w:val="24"/>
          <w:lang w:val="en-US"/>
        </w:rPr>
        <w:t>Brignone</w:t>
      </w:r>
      <w:r w:rsidRPr="00883FC0">
        <w:rPr>
          <w:rFonts w:ascii="Arial" w:hAnsi="Arial" w:cs="Arial"/>
          <w:color w:val="000000"/>
          <w:sz w:val="32"/>
          <w:szCs w:val="24"/>
          <w:vertAlign w:val="superscript"/>
          <w:lang w:val="en-US"/>
        </w:rPr>
        <w:t>d</w:t>
      </w:r>
      <w:proofErr w:type="spellEnd"/>
      <w:r w:rsidRPr="00883FC0">
        <w:rPr>
          <w:rFonts w:ascii="Arial" w:hAnsi="Arial" w:cs="Arial"/>
          <w:color w:val="000000"/>
          <w:sz w:val="32"/>
          <w:szCs w:val="24"/>
          <w:lang w:val="en-US"/>
        </w:rPr>
        <w:t>, Nadine Curt-Grand-</w:t>
      </w:r>
      <w:proofErr w:type="spellStart"/>
      <w:r w:rsidRPr="00883FC0">
        <w:rPr>
          <w:rFonts w:ascii="Arial" w:hAnsi="Arial" w:cs="Arial"/>
          <w:color w:val="000000"/>
          <w:sz w:val="32"/>
          <w:szCs w:val="24"/>
          <w:lang w:val="en-US"/>
        </w:rPr>
        <w:t>Gaudin</w:t>
      </w:r>
      <w:r w:rsidRPr="00883FC0">
        <w:rPr>
          <w:rFonts w:ascii="Arial" w:hAnsi="Arial" w:cs="Arial"/>
          <w:color w:val="000000"/>
          <w:sz w:val="32"/>
          <w:szCs w:val="24"/>
          <w:vertAlign w:val="superscript"/>
          <w:lang w:val="en-US"/>
        </w:rPr>
        <w:t>c</w:t>
      </w:r>
      <w:proofErr w:type="spellEnd"/>
      <w:r w:rsidRPr="00883FC0">
        <w:rPr>
          <w:rFonts w:ascii="Arial" w:hAnsi="Arial" w:cs="Arial"/>
          <w:color w:val="000000"/>
          <w:sz w:val="32"/>
          <w:szCs w:val="24"/>
          <w:lang w:val="en-US"/>
        </w:rPr>
        <w:t>, Mathieu Garel</w:t>
      </w:r>
      <w:r w:rsidRPr="00883FC0">
        <w:rPr>
          <w:rFonts w:ascii="Arial" w:hAnsi="Arial" w:cs="Arial"/>
          <w:color w:val="000000"/>
          <w:sz w:val="32"/>
          <w:szCs w:val="24"/>
          <w:vertAlign w:val="superscript"/>
          <w:lang w:val="en-US"/>
        </w:rPr>
        <w:t>d</w:t>
      </w:r>
      <w:r w:rsidRPr="00883FC0">
        <w:rPr>
          <w:rFonts w:ascii="Arial" w:hAnsi="Arial" w:cs="Arial"/>
          <w:sz w:val="32"/>
          <w:szCs w:val="24"/>
          <w:lang w:val="en-US"/>
        </w:rPr>
        <w:t xml:space="preserve">, </w:t>
      </w:r>
      <w:r w:rsidRPr="00883FC0">
        <w:rPr>
          <w:rFonts w:ascii="Arial" w:hAnsi="Arial" w:cs="Arial"/>
          <w:color w:val="000000"/>
          <w:sz w:val="32"/>
          <w:szCs w:val="24"/>
          <w:lang w:val="en-US"/>
        </w:rPr>
        <w:t xml:space="preserve">Justine </w:t>
      </w:r>
      <w:proofErr w:type="spellStart"/>
      <w:r w:rsidRPr="00883FC0">
        <w:rPr>
          <w:rFonts w:ascii="Arial" w:hAnsi="Arial" w:cs="Arial"/>
          <w:color w:val="000000"/>
          <w:sz w:val="32"/>
          <w:szCs w:val="24"/>
          <w:lang w:val="en-US"/>
        </w:rPr>
        <w:t>Ginot</w:t>
      </w:r>
      <w:r w:rsidRPr="00883FC0">
        <w:rPr>
          <w:rFonts w:ascii="Arial" w:hAnsi="Arial" w:cs="Arial"/>
          <w:color w:val="000000"/>
          <w:sz w:val="32"/>
          <w:szCs w:val="24"/>
          <w:vertAlign w:val="superscript"/>
          <w:lang w:val="en-US"/>
        </w:rPr>
        <w:t>b</w:t>
      </w:r>
      <w:proofErr w:type="spellEnd"/>
      <w:r w:rsidRPr="00883FC0">
        <w:rPr>
          <w:rFonts w:ascii="Arial" w:hAnsi="Arial" w:cs="Arial"/>
          <w:color w:val="000000"/>
          <w:sz w:val="32"/>
          <w:szCs w:val="24"/>
          <w:lang w:val="en-US"/>
        </w:rPr>
        <w:t xml:space="preserve">, Philippe </w:t>
      </w:r>
      <w:proofErr w:type="spellStart"/>
      <w:r w:rsidRPr="00883FC0">
        <w:rPr>
          <w:rFonts w:ascii="Arial" w:hAnsi="Arial" w:cs="Arial"/>
          <w:color w:val="000000"/>
          <w:sz w:val="32"/>
          <w:szCs w:val="24"/>
          <w:lang w:val="en-US"/>
        </w:rPr>
        <w:t>Jacquiet</w:t>
      </w:r>
      <w:r w:rsidRPr="00883FC0">
        <w:rPr>
          <w:rFonts w:ascii="Arial" w:hAnsi="Arial" w:cs="Arial"/>
          <w:color w:val="000000"/>
          <w:sz w:val="32"/>
          <w:szCs w:val="24"/>
          <w:vertAlign w:val="superscript"/>
          <w:lang w:val="en-US"/>
        </w:rPr>
        <w:t>f</w:t>
      </w:r>
      <w:proofErr w:type="spellEnd"/>
      <w:r w:rsidRPr="00883FC0">
        <w:rPr>
          <w:rFonts w:ascii="Arial" w:hAnsi="Arial" w:cs="Arial"/>
          <w:color w:val="000000"/>
          <w:sz w:val="32"/>
          <w:szCs w:val="24"/>
          <w:lang w:val="en-US"/>
        </w:rPr>
        <w:t xml:space="preserve">, Christian </w:t>
      </w:r>
      <w:proofErr w:type="spellStart"/>
      <w:r w:rsidRPr="00883FC0">
        <w:rPr>
          <w:rFonts w:ascii="Arial" w:hAnsi="Arial" w:cs="Arial"/>
          <w:color w:val="000000"/>
          <w:sz w:val="32"/>
          <w:szCs w:val="24"/>
          <w:lang w:val="en-US"/>
        </w:rPr>
        <w:t>Miquel</w:t>
      </w:r>
      <w:r w:rsidRPr="00883FC0">
        <w:rPr>
          <w:rFonts w:ascii="Arial" w:hAnsi="Arial" w:cs="Arial"/>
          <w:color w:val="000000"/>
          <w:sz w:val="32"/>
          <w:szCs w:val="24"/>
          <w:vertAlign w:val="superscript"/>
          <w:lang w:val="en-US"/>
        </w:rPr>
        <w:t>c</w:t>
      </w:r>
      <w:proofErr w:type="spellEnd"/>
      <w:r w:rsidRPr="00883FC0">
        <w:rPr>
          <w:rFonts w:ascii="Arial" w:hAnsi="Arial" w:cs="Arial"/>
          <w:color w:val="000000"/>
          <w:sz w:val="32"/>
          <w:szCs w:val="24"/>
          <w:lang w:val="en-US"/>
        </w:rPr>
        <w:t xml:space="preserve">, </w:t>
      </w:r>
      <w:r w:rsidRPr="00883FC0">
        <w:rPr>
          <w:rFonts w:ascii="Arial" w:hAnsi="Arial" w:cs="Arial"/>
          <w:sz w:val="32"/>
          <w:szCs w:val="24"/>
          <w:lang w:val="en-US"/>
        </w:rPr>
        <w:t xml:space="preserve">Marie-Thérèse </w:t>
      </w:r>
      <w:proofErr w:type="spellStart"/>
      <w:r w:rsidRPr="00883FC0">
        <w:rPr>
          <w:rFonts w:ascii="Arial" w:hAnsi="Arial" w:cs="Arial"/>
          <w:sz w:val="32"/>
          <w:szCs w:val="24"/>
          <w:lang w:val="en-US"/>
        </w:rPr>
        <w:t>Poirel</w:t>
      </w:r>
      <w:r w:rsidRPr="00883FC0">
        <w:rPr>
          <w:rFonts w:ascii="Arial" w:hAnsi="Arial" w:cs="Arial"/>
          <w:sz w:val="32"/>
          <w:szCs w:val="24"/>
          <w:vertAlign w:val="superscript"/>
          <w:lang w:val="en-US"/>
        </w:rPr>
        <w:t>a,b</w:t>
      </w:r>
      <w:proofErr w:type="spellEnd"/>
      <w:r w:rsidRPr="00883FC0">
        <w:rPr>
          <w:rFonts w:ascii="Arial" w:hAnsi="Arial" w:cs="Arial"/>
          <w:sz w:val="32"/>
          <w:szCs w:val="24"/>
          <w:lang w:val="en-US"/>
        </w:rPr>
        <w:t xml:space="preserve">, </w:t>
      </w:r>
      <w:r w:rsidRPr="00883FC0">
        <w:rPr>
          <w:rFonts w:ascii="Arial" w:hAnsi="Arial" w:cs="Arial"/>
          <w:color w:val="000000"/>
          <w:sz w:val="32"/>
          <w:szCs w:val="24"/>
          <w:lang w:val="en-US"/>
        </w:rPr>
        <w:t xml:space="preserve">Anna </w:t>
      </w:r>
      <w:proofErr w:type="spellStart"/>
      <w:r w:rsidRPr="00883FC0">
        <w:rPr>
          <w:rFonts w:ascii="Arial" w:hAnsi="Arial" w:cs="Arial"/>
          <w:color w:val="000000"/>
          <w:sz w:val="32"/>
          <w:szCs w:val="24"/>
          <w:lang w:val="en-US"/>
        </w:rPr>
        <w:t>Serafino</w:t>
      </w:r>
      <w:r w:rsidRPr="00883FC0">
        <w:rPr>
          <w:rFonts w:ascii="Arial" w:hAnsi="Arial" w:cs="Arial"/>
          <w:color w:val="000000"/>
          <w:sz w:val="32"/>
          <w:szCs w:val="24"/>
          <w:vertAlign w:val="superscript"/>
          <w:lang w:val="en-US"/>
        </w:rPr>
        <w:t>b</w:t>
      </w:r>
      <w:proofErr w:type="spellEnd"/>
      <w:r w:rsidRPr="00883FC0">
        <w:rPr>
          <w:rFonts w:ascii="Arial" w:hAnsi="Arial" w:cs="Arial"/>
          <w:color w:val="000000"/>
          <w:sz w:val="32"/>
          <w:szCs w:val="24"/>
          <w:lang w:val="en-US"/>
        </w:rPr>
        <w:t>,</w:t>
      </w:r>
      <w:r w:rsidRPr="00883FC0">
        <w:rPr>
          <w:rFonts w:ascii="Arial" w:hAnsi="Arial" w:cs="Arial"/>
          <w:sz w:val="32"/>
          <w:szCs w:val="24"/>
          <w:lang w:val="en-US"/>
        </w:rPr>
        <w:t xml:space="preserve"> </w:t>
      </w:r>
      <w:r w:rsidR="00990025" w:rsidRPr="00883FC0">
        <w:rPr>
          <w:rFonts w:ascii="Arial" w:hAnsi="Arial" w:cs="Arial"/>
          <w:color w:val="000000"/>
          <w:sz w:val="32"/>
          <w:szCs w:val="24"/>
          <w:lang w:val="en-US"/>
        </w:rPr>
        <w:t xml:space="preserve">Eric </w:t>
      </w:r>
      <w:proofErr w:type="spellStart"/>
      <w:r w:rsidR="00990025" w:rsidRPr="00883FC0">
        <w:rPr>
          <w:rFonts w:ascii="Arial" w:hAnsi="Arial" w:cs="Arial"/>
          <w:color w:val="000000"/>
          <w:sz w:val="32"/>
          <w:szCs w:val="24"/>
          <w:lang w:val="en-US"/>
        </w:rPr>
        <w:t>Vannard</w:t>
      </w:r>
      <w:r w:rsidR="005002AF" w:rsidRPr="00883FC0">
        <w:rPr>
          <w:rFonts w:ascii="Arial" w:hAnsi="Arial" w:cs="Arial"/>
          <w:color w:val="000000"/>
          <w:sz w:val="32"/>
          <w:szCs w:val="24"/>
          <w:vertAlign w:val="superscript"/>
          <w:lang w:val="en-US"/>
        </w:rPr>
        <w:t>g</w:t>
      </w:r>
      <w:proofErr w:type="spellEnd"/>
      <w:r w:rsidR="00990025" w:rsidRPr="00883FC0">
        <w:rPr>
          <w:rFonts w:ascii="Arial" w:hAnsi="Arial" w:cs="Arial"/>
          <w:color w:val="000000"/>
          <w:sz w:val="32"/>
          <w:szCs w:val="24"/>
          <w:lang w:val="en-US"/>
        </w:rPr>
        <w:t xml:space="preserve">, </w:t>
      </w:r>
      <w:r w:rsidRPr="00883FC0">
        <w:rPr>
          <w:rFonts w:ascii="Arial" w:hAnsi="Arial" w:cs="Arial"/>
          <w:sz w:val="32"/>
          <w:szCs w:val="24"/>
          <w:lang w:val="en-US"/>
        </w:rPr>
        <w:t xml:space="preserve">Gilles </w:t>
      </w:r>
      <w:proofErr w:type="spellStart"/>
      <w:r w:rsidRPr="00883FC0">
        <w:rPr>
          <w:rFonts w:ascii="Arial" w:hAnsi="Arial" w:cs="Arial"/>
          <w:sz w:val="32"/>
          <w:szCs w:val="24"/>
          <w:lang w:val="en-US"/>
        </w:rPr>
        <w:t>Bourgoin</w:t>
      </w:r>
      <w:r w:rsidRPr="00883FC0">
        <w:rPr>
          <w:rFonts w:ascii="Arial" w:hAnsi="Arial" w:cs="Arial"/>
          <w:sz w:val="32"/>
          <w:szCs w:val="24"/>
          <w:vertAlign w:val="superscript"/>
          <w:lang w:val="en-US"/>
        </w:rPr>
        <w:t>a,b</w:t>
      </w:r>
      <w:proofErr w:type="spellEnd"/>
      <w:r w:rsidRPr="00883FC0">
        <w:rPr>
          <w:rFonts w:ascii="Arial" w:hAnsi="Arial" w:cs="Arial"/>
          <w:sz w:val="32"/>
          <w:szCs w:val="24"/>
          <w:vertAlign w:val="superscript"/>
          <w:lang w:val="en-US"/>
        </w:rPr>
        <w:t>,</w:t>
      </w:r>
      <w:r w:rsidRPr="00883FC0">
        <w:rPr>
          <w:rFonts w:ascii="Arial" w:hAnsi="Arial" w:cs="Arial"/>
          <w:color w:val="000000"/>
          <w:sz w:val="32"/>
          <w:szCs w:val="24"/>
          <w:vertAlign w:val="superscript"/>
          <w:lang w:val="en-US"/>
        </w:rPr>
        <w:t xml:space="preserve"> †</w:t>
      </w:r>
      <w:r w:rsidRPr="00883FC0">
        <w:rPr>
          <w:rFonts w:ascii="Arial" w:hAnsi="Arial" w:cs="Arial"/>
          <w:color w:val="000000"/>
          <w:sz w:val="32"/>
          <w:szCs w:val="24"/>
          <w:lang w:val="en-US"/>
        </w:rPr>
        <w:t xml:space="preserve">, </w:t>
      </w:r>
      <w:r w:rsidRPr="00883FC0">
        <w:rPr>
          <w:rFonts w:ascii="Arial" w:hAnsi="Arial" w:cs="Arial"/>
          <w:sz w:val="32"/>
          <w:szCs w:val="24"/>
          <w:lang w:val="en-US"/>
        </w:rPr>
        <w:t xml:space="preserve">Glenn </w:t>
      </w:r>
      <w:proofErr w:type="spellStart"/>
      <w:r w:rsidRPr="00883FC0">
        <w:rPr>
          <w:rFonts w:ascii="Arial" w:hAnsi="Arial" w:cs="Arial"/>
          <w:sz w:val="32"/>
          <w:szCs w:val="24"/>
          <w:lang w:val="en-US"/>
        </w:rPr>
        <w:t>Yannic</w:t>
      </w:r>
      <w:r w:rsidRPr="00883FC0">
        <w:rPr>
          <w:rFonts w:ascii="Arial" w:hAnsi="Arial" w:cs="Arial"/>
          <w:sz w:val="32"/>
          <w:szCs w:val="24"/>
          <w:vertAlign w:val="superscript"/>
          <w:lang w:val="en-US"/>
        </w:rPr>
        <w:t>c</w:t>
      </w:r>
      <w:proofErr w:type="spellEnd"/>
      <w:r w:rsidRPr="00883FC0">
        <w:rPr>
          <w:rFonts w:ascii="Arial" w:hAnsi="Arial" w:cs="Arial"/>
          <w:sz w:val="32"/>
          <w:szCs w:val="24"/>
          <w:vertAlign w:val="superscript"/>
          <w:lang w:val="en-US"/>
        </w:rPr>
        <w:t>,</w:t>
      </w:r>
      <w:r w:rsidRPr="00883FC0">
        <w:rPr>
          <w:rFonts w:ascii="Arial" w:hAnsi="Arial" w:cs="Arial"/>
          <w:color w:val="000000"/>
          <w:sz w:val="32"/>
          <w:szCs w:val="24"/>
          <w:vertAlign w:val="superscript"/>
          <w:lang w:val="en-US"/>
        </w:rPr>
        <w:t xml:space="preserve"> †</w:t>
      </w:r>
    </w:p>
    <w:p w14:paraId="2DAB8E03" w14:textId="77777777" w:rsidR="000D2AEA" w:rsidRPr="00883FC0" w:rsidRDefault="000D2AEA" w:rsidP="00A0712B">
      <w:pPr>
        <w:pStyle w:val="NormalWeb"/>
        <w:spacing w:before="0" w:beforeAutospacing="0" w:after="0" w:afterAutospacing="0" w:line="360" w:lineRule="auto"/>
        <w:jc w:val="both"/>
        <w:rPr>
          <w:rFonts w:ascii="Arial" w:hAnsi="Arial" w:cs="Arial"/>
          <w:color w:val="000000"/>
          <w:vertAlign w:val="superscript"/>
          <w:lang w:val="en-US"/>
        </w:rPr>
      </w:pPr>
    </w:p>
    <w:p w14:paraId="78D5B78F" w14:textId="38945535" w:rsidR="006463F4" w:rsidRPr="00883FC0" w:rsidRDefault="006463F4" w:rsidP="00A0712B">
      <w:pPr>
        <w:pStyle w:val="NormalWeb"/>
        <w:spacing w:before="0" w:beforeAutospacing="0" w:after="0" w:afterAutospacing="0" w:line="360" w:lineRule="auto"/>
        <w:jc w:val="both"/>
        <w:rPr>
          <w:rFonts w:ascii="Arial" w:hAnsi="Arial" w:cs="Arial"/>
          <w:sz w:val="20"/>
        </w:rPr>
      </w:pPr>
      <w:proofErr w:type="gramStart"/>
      <w:r w:rsidRPr="00883FC0">
        <w:rPr>
          <w:rFonts w:ascii="Arial" w:hAnsi="Arial" w:cs="Arial"/>
          <w:color w:val="000000"/>
          <w:sz w:val="20"/>
          <w:vertAlign w:val="superscript"/>
        </w:rPr>
        <w:t>a</w:t>
      </w:r>
      <w:proofErr w:type="gramEnd"/>
      <w:r w:rsidRPr="00883FC0">
        <w:rPr>
          <w:rFonts w:ascii="Arial" w:hAnsi="Arial" w:cs="Arial"/>
          <w:color w:val="000000"/>
          <w:sz w:val="20"/>
          <w:vertAlign w:val="superscript"/>
        </w:rPr>
        <w:t xml:space="preserve"> </w:t>
      </w:r>
      <w:r w:rsidRPr="00883FC0">
        <w:rPr>
          <w:rFonts w:ascii="Arial" w:hAnsi="Arial" w:cs="Arial"/>
          <w:i/>
          <w:iCs/>
          <w:color w:val="000000"/>
          <w:sz w:val="20"/>
        </w:rPr>
        <w:t>Université de Lyon, Université Lyon 1, CNRS, Laboratoire de Biométrie et Biologie Evolutive UMR 5558, F-69100 Villeurbanne, France</w:t>
      </w:r>
    </w:p>
    <w:p w14:paraId="39EFE87A" w14:textId="77777777" w:rsidR="006463F4" w:rsidRPr="00883FC0" w:rsidRDefault="006463F4" w:rsidP="00A0712B">
      <w:pPr>
        <w:pStyle w:val="NormalWeb"/>
        <w:spacing w:before="0" w:beforeAutospacing="0" w:after="0" w:afterAutospacing="0" w:line="360" w:lineRule="auto"/>
        <w:jc w:val="both"/>
        <w:rPr>
          <w:rFonts w:ascii="Arial" w:hAnsi="Arial" w:cs="Arial"/>
          <w:color w:val="000000"/>
          <w:sz w:val="20"/>
        </w:rPr>
      </w:pPr>
      <w:r w:rsidRPr="00883FC0">
        <w:rPr>
          <w:rFonts w:ascii="Arial" w:hAnsi="Arial" w:cs="Arial"/>
          <w:color w:val="000000"/>
          <w:sz w:val="20"/>
          <w:vertAlign w:val="superscript"/>
        </w:rPr>
        <w:t xml:space="preserve">b </w:t>
      </w:r>
      <w:r w:rsidRPr="00883FC0">
        <w:rPr>
          <w:rFonts w:ascii="Arial" w:hAnsi="Arial" w:cs="Arial"/>
          <w:i/>
          <w:iCs/>
          <w:color w:val="000000"/>
          <w:sz w:val="20"/>
        </w:rPr>
        <w:t>Université de Lyon, VetAgro Sup, Campus Vétérinaire de Lyon, F-69280 Marcy l’Etoile, France</w:t>
      </w:r>
    </w:p>
    <w:p w14:paraId="43B67027" w14:textId="506CADCE" w:rsidR="006463F4" w:rsidRPr="00883FC0" w:rsidRDefault="006463F4" w:rsidP="00A0712B">
      <w:pPr>
        <w:pStyle w:val="NormalWeb"/>
        <w:spacing w:before="0" w:beforeAutospacing="0" w:after="0" w:afterAutospacing="0" w:line="360" w:lineRule="auto"/>
        <w:jc w:val="both"/>
        <w:rPr>
          <w:rFonts w:ascii="Arial" w:hAnsi="Arial" w:cs="Arial"/>
          <w:i/>
          <w:iCs/>
          <w:color w:val="000000"/>
          <w:sz w:val="20"/>
        </w:rPr>
      </w:pPr>
      <w:r w:rsidRPr="00883FC0">
        <w:rPr>
          <w:rFonts w:ascii="Arial" w:hAnsi="Arial" w:cs="Arial"/>
          <w:color w:val="000000"/>
          <w:sz w:val="20"/>
          <w:vertAlign w:val="superscript"/>
        </w:rPr>
        <w:t xml:space="preserve">c </w:t>
      </w:r>
      <w:r w:rsidRPr="00883FC0">
        <w:rPr>
          <w:rFonts w:ascii="Arial" w:hAnsi="Arial" w:cs="Arial"/>
          <w:i/>
          <w:iCs/>
          <w:color w:val="000000"/>
          <w:sz w:val="20"/>
        </w:rPr>
        <w:t xml:space="preserve">Université Grenoble Alpes, Université Savoie Mont Blanc, CNRS, LECA, 38000, Grenoble, </w:t>
      </w:r>
      <w:r w:rsidR="00B82943" w:rsidRPr="00883FC0">
        <w:rPr>
          <w:rFonts w:ascii="Arial" w:hAnsi="Arial" w:cs="Arial"/>
          <w:i/>
          <w:iCs/>
          <w:color w:val="000000"/>
          <w:sz w:val="20"/>
        </w:rPr>
        <w:t>France</w:t>
      </w:r>
    </w:p>
    <w:p w14:paraId="7454A06F" w14:textId="090A233F" w:rsidR="00B82943" w:rsidRPr="00883FC0" w:rsidRDefault="00B82943" w:rsidP="00A0712B">
      <w:pPr>
        <w:pStyle w:val="NormalWeb"/>
        <w:spacing w:before="0" w:beforeAutospacing="0" w:after="0" w:afterAutospacing="0" w:line="360" w:lineRule="auto"/>
        <w:jc w:val="both"/>
        <w:rPr>
          <w:rFonts w:ascii="Arial" w:hAnsi="Arial" w:cs="Arial"/>
          <w:color w:val="000000"/>
          <w:sz w:val="20"/>
        </w:rPr>
      </w:pPr>
      <w:r w:rsidRPr="00883FC0">
        <w:rPr>
          <w:rFonts w:ascii="Arial" w:hAnsi="Arial" w:cs="Arial"/>
          <w:color w:val="000000"/>
          <w:sz w:val="20"/>
          <w:vertAlign w:val="superscript"/>
        </w:rPr>
        <w:t xml:space="preserve">d </w:t>
      </w:r>
      <w:r w:rsidRPr="00883FC0">
        <w:rPr>
          <w:rFonts w:ascii="Arial" w:hAnsi="Arial" w:cs="Arial"/>
          <w:color w:val="000000"/>
          <w:sz w:val="20"/>
        </w:rPr>
        <w:t>Office Français de la Biodiversité, Unité Ongulés Sauvages, Gières, France</w:t>
      </w:r>
    </w:p>
    <w:p w14:paraId="48F96E38" w14:textId="53167533" w:rsidR="006463F4" w:rsidRPr="00883FC0" w:rsidRDefault="00B82943" w:rsidP="00A0712B">
      <w:pPr>
        <w:pStyle w:val="NormalWeb"/>
        <w:spacing w:before="0" w:beforeAutospacing="0" w:after="0" w:afterAutospacing="0" w:line="360" w:lineRule="auto"/>
        <w:jc w:val="both"/>
        <w:rPr>
          <w:rFonts w:ascii="Arial" w:hAnsi="Arial" w:cs="Arial"/>
          <w:color w:val="000000"/>
          <w:sz w:val="20"/>
        </w:rPr>
      </w:pPr>
      <w:r w:rsidRPr="00883FC0">
        <w:rPr>
          <w:rFonts w:ascii="Arial" w:hAnsi="Arial" w:cs="Arial"/>
          <w:color w:val="000000"/>
          <w:sz w:val="20"/>
          <w:vertAlign w:val="superscript"/>
        </w:rPr>
        <w:t>e</w:t>
      </w:r>
      <w:r w:rsidR="006463F4" w:rsidRPr="00883FC0">
        <w:rPr>
          <w:rFonts w:ascii="Arial" w:hAnsi="Arial" w:cs="Arial"/>
          <w:color w:val="000000"/>
          <w:sz w:val="20"/>
          <w:vertAlign w:val="superscript"/>
        </w:rPr>
        <w:t xml:space="preserve"> </w:t>
      </w:r>
      <w:r w:rsidR="006463F4" w:rsidRPr="00883FC0">
        <w:rPr>
          <w:rFonts w:ascii="Arial" w:hAnsi="Arial" w:cs="Arial"/>
          <w:color w:val="000000"/>
          <w:sz w:val="20"/>
        </w:rPr>
        <w:t xml:space="preserve">Parc national des Écrins, Secteur du </w:t>
      </w:r>
      <w:r w:rsidR="005002AF" w:rsidRPr="00883FC0">
        <w:rPr>
          <w:rFonts w:ascii="Arial" w:hAnsi="Arial" w:cs="Arial"/>
          <w:color w:val="000000"/>
          <w:sz w:val="20"/>
        </w:rPr>
        <w:t>Champsaur-</w:t>
      </w:r>
      <w:proofErr w:type="spellStart"/>
      <w:r w:rsidR="005002AF" w:rsidRPr="00883FC0">
        <w:rPr>
          <w:rFonts w:ascii="Arial" w:hAnsi="Arial" w:cs="Arial"/>
          <w:color w:val="000000"/>
          <w:sz w:val="20"/>
        </w:rPr>
        <w:t>Valgaudemar</w:t>
      </w:r>
      <w:proofErr w:type="spellEnd"/>
      <w:r w:rsidR="006463F4" w:rsidRPr="00883FC0">
        <w:rPr>
          <w:rFonts w:ascii="Arial" w:hAnsi="Arial" w:cs="Arial"/>
          <w:color w:val="000000"/>
          <w:sz w:val="20"/>
        </w:rPr>
        <w:t>, 05</w:t>
      </w:r>
      <w:r w:rsidR="005002AF" w:rsidRPr="00883FC0">
        <w:rPr>
          <w:rFonts w:ascii="Arial" w:hAnsi="Arial" w:cs="Arial"/>
          <w:color w:val="000000"/>
          <w:sz w:val="20"/>
        </w:rPr>
        <w:t>260</w:t>
      </w:r>
      <w:r w:rsidR="006463F4" w:rsidRPr="00883FC0">
        <w:rPr>
          <w:rFonts w:ascii="Arial" w:hAnsi="Arial" w:cs="Arial"/>
          <w:color w:val="000000"/>
          <w:sz w:val="20"/>
        </w:rPr>
        <w:t xml:space="preserve"> </w:t>
      </w:r>
      <w:r w:rsidR="005002AF" w:rsidRPr="00883FC0">
        <w:rPr>
          <w:rFonts w:ascii="Arial" w:hAnsi="Arial" w:cs="Arial"/>
          <w:color w:val="000000"/>
          <w:sz w:val="20"/>
        </w:rPr>
        <w:t>Saint Jean Saint Nicolas</w:t>
      </w:r>
      <w:r w:rsidR="006463F4" w:rsidRPr="00883FC0">
        <w:rPr>
          <w:rFonts w:ascii="Arial" w:hAnsi="Arial" w:cs="Arial"/>
          <w:color w:val="000000"/>
          <w:sz w:val="20"/>
        </w:rPr>
        <w:t>, France</w:t>
      </w:r>
    </w:p>
    <w:p w14:paraId="3981E8D8" w14:textId="7222BB90" w:rsidR="00B82943" w:rsidRPr="00883FC0" w:rsidRDefault="00B82943" w:rsidP="00A0712B">
      <w:pPr>
        <w:spacing w:after="0" w:line="360" w:lineRule="auto"/>
        <w:jc w:val="both"/>
        <w:rPr>
          <w:rFonts w:ascii="Arial" w:hAnsi="Arial" w:cs="Arial"/>
          <w:sz w:val="20"/>
          <w:szCs w:val="24"/>
        </w:rPr>
      </w:pPr>
      <w:r w:rsidRPr="00883FC0">
        <w:rPr>
          <w:rFonts w:ascii="Arial" w:hAnsi="Arial" w:cs="Arial"/>
          <w:sz w:val="20"/>
          <w:szCs w:val="24"/>
          <w:vertAlign w:val="superscript"/>
        </w:rPr>
        <w:t xml:space="preserve">f </w:t>
      </w:r>
      <w:r w:rsidRPr="00883FC0">
        <w:rPr>
          <w:rFonts w:ascii="Arial" w:hAnsi="Arial" w:cs="Arial"/>
          <w:sz w:val="20"/>
          <w:szCs w:val="24"/>
        </w:rPr>
        <w:t xml:space="preserve">Université de Toulouse, UMT Pilotage de la Santé des Ruminants, Ecole Nationale Vétérinaire de Toulouse, </w:t>
      </w:r>
      <w:r w:rsidR="005002AF" w:rsidRPr="00883FC0">
        <w:rPr>
          <w:rFonts w:ascii="Arial" w:hAnsi="Arial" w:cs="Arial"/>
          <w:sz w:val="20"/>
          <w:szCs w:val="24"/>
        </w:rPr>
        <w:t>France</w:t>
      </w:r>
    </w:p>
    <w:p w14:paraId="4E5D0F8E" w14:textId="70C83610" w:rsidR="005002AF" w:rsidRPr="00883FC0" w:rsidRDefault="005002AF" w:rsidP="00A0712B">
      <w:pPr>
        <w:spacing w:after="0" w:line="360" w:lineRule="auto"/>
        <w:jc w:val="both"/>
        <w:rPr>
          <w:rFonts w:ascii="Arial" w:hAnsi="Arial" w:cs="Arial"/>
          <w:sz w:val="24"/>
          <w:szCs w:val="24"/>
        </w:rPr>
      </w:pPr>
      <w:r w:rsidRPr="00883FC0">
        <w:rPr>
          <w:rFonts w:ascii="Arial" w:hAnsi="Arial" w:cs="Arial"/>
          <w:color w:val="000000"/>
          <w:sz w:val="20"/>
          <w:vertAlign w:val="superscript"/>
        </w:rPr>
        <w:t>g</w:t>
      </w:r>
      <w:r w:rsidRPr="00883FC0">
        <w:rPr>
          <w:rFonts w:ascii="Arial" w:hAnsi="Arial" w:cs="Arial"/>
          <w:color w:val="000000"/>
          <w:sz w:val="18"/>
          <w:vertAlign w:val="superscript"/>
        </w:rPr>
        <w:t xml:space="preserve"> </w:t>
      </w:r>
      <w:r w:rsidRPr="00883FC0">
        <w:rPr>
          <w:rFonts w:ascii="Arial" w:hAnsi="Arial" w:cs="Arial"/>
          <w:color w:val="000000"/>
          <w:sz w:val="20"/>
        </w:rPr>
        <w:t>Parc national des Écrins, Secteur du Briançonnais, 05100 Briançon, France</w:t>
      </w:r>
    </w:p>
    <w:p w14:paraId="554BA8D5" w14:textId="77777777" w:rsidR="00B82943" w:rsidRPr="00883FC0" w:rsidRDefault="00B82943" w:rsidP="00A0712B">
      <w:pPr>
        <w:pStyle w:val="NormalWeb"/>
        <w:spacing w:before="0" w:beforeAutospacing="0" w:after="0" w:afterAutospacing="0" w:line="360" w:lineRule="auto"/>
        <w:jc w:val="both"/>
        <w:rPr>
          <w:rFonts w:ascii="Arial" w:hAnsi="Arial" w:cs="Arial"/>
          <w:color w:val="000000" w:themeColor="text1"/>
          <w:sz w:val="20"/>
        </w:rPr>
      </w:pPr>
    </w:p>
    <w:p w14:paraId="10DAC6B1" w14:textId="47CE6D80" w:rsidR="006463F4" w:rsidRPr="00883FC0" w:rsidRDefault="006463F4" w:rsidP="00A0712B">
      <w:pPr>
        <w:pStyle w:val="NormalWeb"/>
        <w:spacing w:before="0" w:beforeAutospacing="0" w:after="0" w:afterAutospacing="0" w:line="360" w:lineRule="auto"/>
        <w:jc w:val="both"/>
        <w:rPr>
          <w:rFonts w:ascii="Arial" w:hAnsi="Arial" w:cs="Arial"/>
          <w:color w:val="000000" w:themeColor="text1"/>
          <w:sz w:val="20"/>
          <w:lang w:val="en-US"/>
        </w:rPr>
      </w:pPr>
      <w:r w:rsidRPr="00883FC0">
        <w:rPr>
          <w:rFonts w:ascii="Arial" w:hAnsi="Arial" w:cs="Arial"/>
          <w:color w:val="000000" w:themeColor="text1"/>
          <w:sz w:val="20"/>
          <w:lang w:val="en-US"/>
        </w:rPr>
        <w:t>*Corresponding author:</w:t>
      </w:r>
      <w:r w:rsidRPr="00883FC0">
        <w:rPr>
          <w:rStyle w:val="Lienhypertexte"/>
          <w:rFonts w:ascii="Arial" w:eastAsiaTheme="majorEastAsia" w:hAnsi="Arial" w:cs="Arial"/>
          <w:color w:val="000000" w:themeColor="text1"/>
          <w:sz w:val="20"/>
          <w:lang w:val="en-US"/>
        </w:rPr>
        <w:t xml:space="preserve"> beaumelle.camille@gmail.com</w:t>
      </w:r>
    </w:p>
    <w:p w14:paraId="3405417A" w14:textId="77777777" w:rsidR="006463F4" w:rsidRPr="00883FC0" w:rsidRDefault="006463F4" w:rsidP="00A0712B">
      <w:pPr>
        <w:pStyle w:val="NormalWeb"/>
        <w:spacing w:before="0" w:beforeAutospacing="0" w:after="0" w:afterAutospacing="0" w:line="360" w:lineRule="auto"/>
        <w:jc w:val="both"/>
        <w:rPr>
          <w:rFonts w:ascii="Arial" w:hAnsi="Arial" w:cs="Arial"/>
          <w:bCs/>
          <w:color w:val="000000"/>
          <w:sz w:val="20"/>
          <w:lang w:val="en-US"/>
        </w:rPr>
      </w:pPr>
      <w:r w:rsidRPr="00883FC0">
        <w:rPr>
          <w:rFonts w:ascii="Arial" w:hAnsi="Arial" w:cs="Arial"/>
          <w:bCs/>
          <w:color w:val="000000"/>
          <w:sz w:val="20"/>
          <w:vertAlign w:val="superscript"/>
          <w:lang w:val="en-US"/>
        </w:rPr>
        <w:t>†</w:t>
      </w:r>
      <w:r w:rsidRPr="00883FC0">
        <w:rPr>
          <w:rFonts w:ascii="Arial" w:hAnsi="Arial" w:cs="Arial"/>
          <w:bCs/>
          <w:color w:val="000000"/>
          <w:sz w:val="20"/>
          <w:lang w:val="en-US"/>
        </w:rPr>
        <w:t xml:space="preserve"> Co-senior authors</w:t>
      </w:r>
    </w:p>
    <w:p w14:paraId="48ADC29B" w14:textId="77777777" w:rsidR="006463F4" w:rsidRPr="00883FC0" w:rsidRDefault="006463F4" w:rsidP="00A0712B">
      <w:pPr>
        <w:spacing w:after="0" w:line="360" w:lineRule="auto"/>
        <w:rPr>
          <w:rFonts w:ascii="Arial" w:hAnsi="Arial" w:cs="Arial"/>
          <w:sz w:val="24"/>
          <w:szCs w:val="24"/>
          <w:lang w:val="en-US"/>
        </w:rPr>
      </w:pPr>
    </w:p>
    <w:p w14:paraId="4D0F939E" w14:textId="77777777" w:rsidR="006463F4" w:rsidRPr="00883FC0" w:rsidRDefault="006463F4" w:rsidP="00A0712B">
      <w:pPr>
        <w:spacing w:after="0" w:line="360" w:lineRule="auto"/>
        <w:rPr>
          <w:rFonts w:ascii="Arial" w:hAnsi="Arial" w:cs="Arial"/>
          <w:lang w:val="en-US"/>
        </w:rPr>
      </w:pPr>
    </w:p>
    <w:p w14:paraId="699EF009" w14:textId="77777777" w:rsidR="006463F4" w:rsidRPr="00883FC0" w:rsidRDefault="006463F4" w:rsidP="00A0712B">
      <w:pPr>
        <w:spacing w:after="0" w:line="360" w:lineRule="auto"/>
        <w:rPr>
          <w:rFonts w:ascii="Arial" w:hAnsi="Arial" w:cs="Arial"/>
          <w:lang w:val="en-US"/>
        </w:rPr>
      </w:pPr>
    </w:p>
    <w:p w14:paraId="116B68BB" w14:textId="48EA6970" w:rsidR="006463F4" w:rsidRPr="00883FC0" w:rsidRDefault="006463F4" w:rsidP="00A0712B">
      <w:pPr>
        <w:spacing w:after="0" w:line="360" w:lineRule="auto"/>
        <w:rPr>
          <w:rFonts w:ascii="Arial" w:hAnsi="Arial" w:cs="Arial"/>
          <w:lang w:val="en-US"/>
        </w:rPr>
      </w:pPr>
    </w:p>
    <w:p w14:paraId="63DBC7F9" w14:textId="5832A2A0" w:rsidR="00B82943" w:rsidRPr="00883FC0" w:rsidRDefault="00B82943" w:rsidP="00A0712B">
      <w:pPr>
        <w:spacing w:after="0" w:line="360" w:lineRule="auto"/>
        <w:rPr>
          <w:rFonts w:ascii="Arial" w:hAnsi="Arial" w:cs="Arial"/>
          <w:lang w:val="en-US"/>
        </w:rPr>
      </w:pPr>
    </w:p>
    <w:p w14:paraId="2995C9D7" w14:textId="726CFE4A" w:rsidR="00F558F4" w:rsidRPr="00883FC0" w:rsidRDefault="00F558F4" w:rsidP="00A0712B">
      <w:pPr>
        <w:spacing w:after="0" w:line="360" w:lineRule="auto"/>
        <w:rPr>
          <w:rFonts w:ascii="Arial" w:hAnsi="Arial" w:cs="Arial"/>
          <w:lang w:val="en-US"/>
        </w:rPr>
      </w:pPr>
    </w:p>
    <w:p w14:paraId="5A645E22" w14:textId="577C24ED" w:rsidR="00F558F4" w:rsidRPr="00883FC0" w:rsidRDefault="00F558F4" w:rsidP="00A0712B">
      <w:pPr>
        <w:spacing w:after="0" w:line="360" w:lineRule="auto"/>
        <w:rPr>
          <w:rFonts w:ascii="Arial" w:hAnsi="Arial" w:cs="Arial"/>
          <w:lang w:val="en-US"/>
        </w:rPr>
      </w:pPr>
    </w:p>
    <w:p w14:paraId="25398671" w14:textId="67099915" w:rsidR="00B82943" w:rsidRPr="00883FC0" w:rsidRDefault="00F348AD" w:rsidP="00A0712B">
      <w:pPr>
        <w:spacing w:after="0" w:line="360" w:lineRule="auto"/>
        <w:rPr>
          <w:rFonts w:ascii="Arial" w:hAnsi="Arial" w:cs="Arial"/>
          <w:b/>
          <w:sz w:val="28"/>
          <w:lang w:val="en-US"/>
        </w:rPr>
      </w:pPr>
      <w:r w:rsidRPr="00883FC0">
        <w:rPr>
          <w:rFonts w:ascii="Arial" w:hAnsi="Arial" w:cs="Arial"/>
          <w:b/>
          <w:sz w:val="28"/>
          <w:lang w:val="en-US"/>
        </w:rPr>
        <w:lastRenderedPageBreak/>
        <w:t>ABSTRACT</w:t>
      </w:r>
    </w:p>
    <w:p w14:paraId="28742CF7" w14:textId="45D750A2" w:rsidR="00E67C79" w:rsidRPr="00883FC0" w:rsidRDefault="00274888" w:rsidP="00A0712B">
      <w:pPr>
        <w:spacing w:after="0" w:line="360" w:lineRule="auto"/>
        <w:jc w:val="both"/>
        <w:rPr>
          <w:rFonts w:ascii="Arial" w:hAnsi="Arial" w:cs="Arial"/>
          <w:sz w:val="24"/>
          <w:lang w:val="en-US"/>
        </w:rPr>
      </w:pPr>
      <w:r w:rsidRPr="00883FC0">
        <w:rPr>
          <w:rFonts w:ascii="Arial" w:hAnsi="Arial" w:cs="Arial"/>
          <w:sz w:val="24"/>
          <w:lang w:val="en-US"/>
        </w:rPr>
        <w:t xml:space="preserve">Wild and domestic ungulates can be infected </w:t>
      </w:r>
      <w:r w:rsidR="00DE21E2" w:rsidRPr="00883FC0">
        <w:rPr>
          <w:rFonts w:ascii="Arial" w:hAnsi="Arial" w:cs="Arial"/>
          <w:sz w:val="24"/>
          <w:lang w:val="en-US"/>
        </w:rPr>
        <w:t>with</w:t>
      </w:r>
      <w:r w:rsidRPr="00883FC0">
        <w:rPr>
          <w:rFonts w:ascii="Arial" w:hAnsi="Arial" w:cs="Arial"/>
          <w:sz w:val="24"/>
          <w:lang w:val="en-US"/>
        </w:rPr>
        <w:t xml:space="preserve"> the s</w:t>
      </w:r>
      <w:r w:rsidR="00974025" w:rsidRPr="00883FC0">
        <w:rPr>
          <w:rFonts w:ascii="Arial" w:hAnsi="Arial" w:cs="Arial"/>
          <w:sz w:val="24"/>
          <w:lang w:val="en-US"/>
        </w:rPr>
        <w:t xml:space="preserve">ame species of gastrointestinal </w:t>
      </w:r>
      <w:r w:rsidRPr="00883FC0">
        <w:rPr>
          <w:rFonts w:ascii="Arial" w:hAnsi="Arial" w:cs="Arial"/>
          <w:sz w:val="24"/>
          <w:lang w:val="en-US"/>
        </w:rPr>
        <w:t>parasit</w:t>
      </w:r>
      <w:r w:rsidR="00DE21E2" w:rsidRPr="00883FC0">
        <w:rPr>
          <w:rFonts w:ascii="Arial" w:hAnsi="Arial" w:cs="Arial"/>
          <w:sz w:val="24"/>
          <w:lang w:val="en-US"/>
        </w:rPr>
        <w:t>ic nematodes</w:t>
      </w:r>
      <w:r w:rsidRPr="00883FC0">
        <w:rPr>
          <w:rFonts w:ascii="Arial" w:hAnsi="Arial" w:cs="Arial"/>
          <w:sz w:val="24"/>
          <w:lang w:val="en-US"/>
        </w:rPr>
        <w:t>. These parasit</w:t>
      </w:r>
      <w:r w:rsidR="00DE21E2" w:rsidRPr="00883FC0">
        <w:rPr>
          <w:rFonts w:ascii="Arial" w:hAnsi="Arial" w:cs="Arial"/>
          <w:sz w:val="24"/>
          <w:lang w:val="en-US"/>
        </w:rPr>
        <w:t xml:space="preserve">es </w:t>
      </w:r>
      <w:r w:rsidRPr="00883FC0">
        <w:rPr>
          <w:rFonts w:ascii="Arial" w:hAnsi="Arial" w:cs="Arial"/>
          <w:sz w:val="24"/>
          <w:lang w:val="en-US"/>
        </w:rPr>
        <w:t>have free</w:t>
      </w:r>
      <w:r w:rsidR="00283A67" w:rsidRPr="00883FC0">
        <w:rPr>
          <w:rFonts w:ascii="Arial" w:hAnsi="Arial" w:cs="Arial"/>
          <w:sz w:val="24"/>
          <w:lang w:val="en-US"/>
        </w:rPr>
        <w:t>-</w:t>
      </w:r>
      <w:r w:rsidRPr="00883FC0">
        <w:rPr>
          <w:rFonts w:ascii="Arial" w:hAnsi="Arial" w:cs="Arial"/>
          <w:sz w:val="24"/>
          <w:lang w:val="en-US"/>
        </w:rPr>
        <w:t>l</w:t>
      </w:r>
      <w:r w:rsidR="00753D48" w:rsidRPr="00883FC0">
        <w:rPr>
          <w:rFonts w:ascii="Arial" w:hAnsi="Arial" w:cs="Arial"/>
          <w:sz w:val="24"/>
          <w:lang w:val="en-US"/>
        </w:rPr>
        <w:t>i</w:t>
      </w:r>
      <w:r w:rsidRPr="00883FC0">
        <w:rPr>
          <w:rFonts w:ascii="Arial" w:hAnsi="Arial" w:cs="Arial"/>
          <w:sz w:val="24"/>
          <w:lang w:val="en-US"/>
        </w:rPr>
        <w:t>ving stage</w:t>
      </w:r>
      <w:r w:rsidR="00440359" w:rsidRPr="00883FC0">
        <w:rPr>
          <w:rFonts w:ascii="Arial" w:hAnsi="Arial" w:cs="Arial"/>
          <w:sz w:val="24"/>
          <w:lang w:val="en-US"/>
        </w:rPr>
        <w:t>s</w:t>
      </w:r>
      <w:r w:rsidRPr="00883FC0">
        <w:rPr>
          <w:rFonts w:ascii="Arial" w:hAnsi="Arial" w:cs="Arial"/>
          <w:sz w:val="24"/>
          <w:lang w:val="en-US"/>
        </w:rPr>
        <w:t xml:space="preserve"> in the environment </w:t>
      </w:r>
      <w:r w:rsidR="00DE21E2" w:rsidRPr="00883FC0">
        <w:rPr>
          <w:rFonts w:ascii="Arial" w:hAnsi="Arial" w:cs="Arial"/>
          <w:sz w:val="24"/>
          <w:lang w:val="en-US"/>
        </w:rPr>
        <w:t>that</w:t>
      </w:r>
      <w:r w:rsidRPr="00883FC0">
        <w:rPr>
          <w:rFonts w:ascii="Arial" w:hAnsi="Arial" w:cs="Arial"/>
          <w:sz w:val="24"/>
          <w:lang w:val="en-US"/>
        </w:rPr>
        <w:t xml:space="preserve"> contribute to </w:t>
      </w:r>
      <w:r w:rsidR="00DE21E2" w:rsidRPr="00883FC0">
        <w:rPr>
          <w:rFonts w:ascii="Arial" w:hAnsi="Arial" w:cs="Arial"/>
          <w:sz w:val="24"/>
          <w:lang w:val="en-US"/>
        </w:rPr>
        <w:t>the ease of</w:t>
      </w:r>
      <w:r w:rsidR="00537425" w:rsidRPr="00883FC0">
        <w:rPr>
          <w:rFonts w:ascii="Arial" w:hAnsi="Arial" w:cs="Arial"/>
          <w:sz w:val="24"/>
          <w:lang w:val="en-US"/>
        </w:rPr>
        <w:t xml:space="preserve"> transmission </w:t>
      </w:r>
      <w:r w:rsidR="00EA5F73" w:rsidRPr="00883FC0">
        <w:rPr>
          <w:rFonts w:ascii="Arial" w:hAnsi="Arial" w:cs="Arial"/>
          <w:sz w:val="24"/>
          <w:lang w:val="en-US"/>
        </w:rPr>
        <w:t>among</w:t>
      </w:r>
      <w:r w:rsidR="00537425" w:rsidRPr="00883FC0">
        <w:rPr>
          <w:rFonts w:ascii="Arial" w:hAnsi="Arial" w:cs="Arial"/>
          <w:sz w:val="24"/>
          <w:lang w:val="en-US"/>
        </w:rPr>
        <w:t xml:space="preserve"> different host species. </w:t>
      </w:r>
      <w:r w:rsidR="00DE21E2" w:rsidRPr="00883FC0">
        <w:rPr>
          <w:rFonts w:ascii="Arial" w:hAnsi="Arial" w:cs="Arial"/>
          <w:sz w:val="24"/>
          <w:lang w:val="en-US"/>
        </w:rPr>
        <w:t xml:space="preserve">In addition, gastrointestinal nematodes have developed resistance to anthelmintics which is now considered a major problem for the livestock </w:t>
      </w:r>
      <w:r w:rsidR="00EA5F73" w:rsidRPr="00883FC0">
        <w:rPr>
          <w:rFonts w:ascii="Arial" w:hAnsi="Arial" w:cs="Arial"/>
          <w:sz w:val="24"/>
          <w:lang w:val="en-US"/>
        </w:rPr>
        <w:t>sector</w:t>
      </w:r>
      <w:r w:rsidR="00DE21E2" w:rsidRPr="00883FC0">
        <w:rPr>
          <w:rFonts w:ascii="Arial" w:hAnsi="Arial" w:cs="Arial"/>
          <w:sz w:val="24"/>
          <w:lang w:val="en-US"/>
        </w:rPr>
        <w:t xml:space="preserve">. </w:t>
      </w:r>
      <w:r w:rsidR="0084666A" w:rsidRPr="00883FC0">
        <w:rPr>
          <w:rFonts w:ascii="Arial" w:hAnsi="Arial" w:cs="Arial"/>
          <w:sz w:val="24"/>
          <w:lang w:val="en-US"/>
        </w:rPr>
        <w:t xml:space="preserve">In </w:t>
      </w:r>
      <w:r w:rsidR="00601343" w:rsidRPr="00883FC0">
        <w:rPr>
          <w:rFonts w:ascii="Arial" w:hAnsi="Arial" w:cs="Arial"/>
          <w:sz w:val="24"/>
          <w:lang w:val="en-US"/>
        </w:rPr>
        <w:t xml:space="preserve">a context where </w:t>
      </w:r>
      <w:r w:rsidR="005E4AAD" w:rsidRPr="00883FC0">
        <w:rPr>
          <w:rFonts w:ascii="Arial" w:hAnsi="Arial" w:cs="Arial"/>
          <w:sz w:val="24"/>
          <w:lang w:val="en-US"/>
        </w:rPr>
        <w:t>wild</w:t>
      </w:r>
      <w:r w:rsidR="00601343" w:rsidRPr="00883FC0">
        <w:rPr>
          <w:rFonts w:ascii="Arial" w:hAnsi="Arial" w:cs="Arial"/>
          <w:sz w:val="24"/>
          <w:lang w:val="en-US"/>
        </w:rPr>
        <w:t xml:space="preserve"> and domestic</w:t>
      </w:r>
      <w:r w:rsidR="005E4AAD" w:rsidRPr="00883FC0">
        <w:rPr>
          <w:rFonts w:ascii="Arial" w:hAnsi="Arial" w:cs="Arial"/>
          <w:sz w:val="24"/>
          <w:lang w:val="en-US"/>
        </w:rPr>
        <w:t xml:space="preserve"> ungulate</w:t>
      </w:r>
      <w:r w:rsidR="0084666A" w:rsidRPr="00883FC0">
        <w:rPr>
          <w:rFonts w:ascii="Arial" w:hAnsi="Arial" w:cs="Arial"/>
          <w:sz w:val="24"/>
          <w:lang w:val="en-US"/>
        </w:rPr>
        <w:t>s</w:t>
      </w:r>
      <w:r w:rsidR="00601343" w:rsidRPr="00883FC0">
        <w:rPr>
          <w:rFonts w:ascii="Arial" w:hAnsi="Arial" w:cs="Arial"/>
          <w:sz w:val="24"/>
          <w:lang w:val="en-US"/>
        </w:rPr>
        <w:t xml:space="preserve"> share the same pasture</w:t>
      </w:r>
      <w:r w:rsidR="00EB3C71" w:rsidRPr="00883FC0">
        <w:rPr>
          <w:rFonts w:ascii="Arial" w:hAnsi="Arial" w:cs="Arial"/>
          <w:sz w:val="24"/>
          <w:lang w:val="en-US"/>
        </w:rPr>
        <w:t>s</w:t>
      </w:r>
      <w:r w:rsidR="005A622C" w:rsidRPr="00883FC0">
        <w:rPr>
          <w:rFonts w:ascii="Arial" w:hAnsi="Arial" w:cs="Arial"/>
          <w:sz w:val="24"/>
          <w:lang w:val="en-US"/>
        </w:rPr>
        <w:t>,</w:t>
      </w:r>
      <w:r w:rsidR="00871204" w:rsidRPr="00883FC0">
        <w:rPr>
          <w:rFonts w:ascii="Arial" w:hAnsi="Arial" w:cs="Arial"/>
          <w:sz w:val="24"/>
          <w:lang w:val="en-US"/>
        </w:rPr>
        <w:t xml:space="preserve"> the maintenance and circulation </w:t>
      </w:r>
      <w:r w:rsidR="005A622C" w:rsidRPr="00883FC0">
        <w:rPr>
          <w:rFonts w:ascii="Arial" w:hAnsi="Arial" w:cs="Arial"/>
          <w:sz w:val="24"/>
          <w:lang w:val="en-US"/>
        </w:rPr>
        <w:t>of resistant gastrointestinal nematodes between species</w:t>
      </w:r>
      <w:r w:rsidR="00A74ECE" w:rsidRPr="00883FC0">
        <w:rPr>
          <w:rFonts w:ascii="Arial" w:hAnsi="Arial" w:cs="Arial"/>
          <w:sz w:val="24"/>
          <w:lang w:val="en-US"/>
        </w:rPr>
        <w:t xml:space="preserve"> have rarely been explored</w:t>
      </w:r>
      <w:r w:rsidR="005E4AAD" w:rsidRPr="00883FC0">
        <w:rPr>
          <w:rFonts w:ascii="Arial" w:hAnsi="Arial" w:cs="Arial"/>
          <w:sz w:val="24"/>
          <w:lang w:val="en-US"/>
        </w:rPr>
        <w:t xml:space="preserve">. </w:t>
      </w:r>
    </w:p>
    <w:p w14:paraId="6AFE9CC9" w14:textId="35B188D4" w:rsidR="003F36B8" w:rsidRPr="00883FC0" w:rsidRDefault="00E67C79" w:rsidP="00A0712B">
      <w:pPr>
        <w:spacing w:after="0" w:line="360" w:lineRule="auto"/>
        <w:jc w:val="both"/>
        <w:rPr>
          <w:rFonts w:ascii="Arial" w:hAnsi="Arial" w:cs="Arial"/>
          <w:sz w:val="24"/>
          <w:lang w:val="en-US"/>
        </w:rPr>
      </w:pPr>
      <w:r w:rsidRPr="00883FC0">
        <w:rPr>
          <w:rFonts w:ascii="Arial" w:hAnsi="Arial" w:cs="Arial"/>
          <w:sz w:val="24"/>
          <w:lang w:val="en-US"/>
        </w:rPr>
        <w:t xml:space="preserve">In the </w:t>
      </w:r>
      <w:r w:rsidR="00A74ECE" w:rsidRPr="00883FC0">
        <w:rPr>
          <w:rFonts w:ascii="Arial" w:hAnsi="Arial" w:cs="Arial"/>
          <w:sz w:val="24"/>
          <w:lang w:val="en-US"/>
        </w:rPr>
        <w:t xml:space="preserve">European </w:t>
      </w:r>
      <w:r w:rsidR="00634F5D" w:rsidRPr="00883FC0">
        <w:rPr>
          <w:rFonts w:ascii="Arial" w:hAnsi="Arial" w:cs="Arial"/>
          <w:sz w:val="24"/>
          <w:lang w:val="en-US"/>
        </w:rPr>
        <w:t>A</w:t>
      </w:r>
      <w:r w:rsidRPr="00883FC0">
        <w:rPr>
          <w:rFonts w:ascii="Arial" w:hAnsi="Arial" w:cs="Arial"/>
          <w:sz w:val="24"/>
          <w:lang w:val="en-US"/>
        </w:rPr>
        <w:t xml:space="preserve">lps, </w:t>
      </w:r>
      <w:r w:rsidR="00DE21E2" w:rsidRPr="00883FC0">
        <w:rPr>
          <w:rFonts w:ascii="Arial" w:hAnsi="Arial" w:cs="Arial"/>
          <w:sz w:val="24"/>
          <w:lang w:val="en-US"/>
        </w:rPr>
        <w:t>domestic sheep</w:t>
      </w:r>
      <w:r w:rsidRPr="00883FC0">
        <w:rPr>
          <w:rFonts w:ascii="Arial" w:hAnsi="Arial" w:cs="Arial"/>
          <w:sz w:val="24"/>
          <w:lang w:val="en-US"/>
        </w:rPr>
        <w:t xml:space="preserve"> are dr</w:t>
      </w:r>
      <w:r w:rsidR="00DE21E2" w:rsidRPr="00883FC0">
        <w:rPr>
          <w:rFonts w:ascii="Arial" w:hAnsi="Arial" w:cs="Arial"/>
          <w:sz w:val="24"/>
          <w:lang w:val="en-US"/>
        </w:rPr>
        <w:t>iven</w:t>
      </w:r>
      <w:r w:rsidRPr="00883FC0">
        <w:rPr>
          <w:rFonts w:ascii="Arial" w:hAnsi="Arial" w:cs="Arial"/>
          <w:sz w:val="24"/>
          <w:lang w:val="en-US"/>
        </w:rPr>
        <w:t xml:space="preserve"> </w:t>
      </w:r>
      <w:r w:rsidR="002016C5" w:rsidRPr="00883FC0">
        <w:rPr>
          <w:rFonts w:ascii="Arial" w:hAnsi="Arial" w:cs="Arial"/>
          <w:sz w:val="24"/>
          <w:lang w:val="en-US"/>
        </w:rPr>
        <w:t>to</w:t>
      </w:r>
      <w:r w:rsidRPr="00883FC0">
        <w:rPr>
          <w:rFonts w:ascii="Arial" w:hAnsi="Arial" w:cs="Arial"/>
          <w:sz w:val="24"/>
          <w:lang w:val="en-US"/>
        </w:rPr>
        <w:t xml:space="preserve"> </w:t>
      </w:r>
      <w:r w:rsidR="00A74ECE" w:rsidRPr="00883FC0">
        <w:rPr>
          <w:rFonts w:ascii="Arial" w:hAnsi="Arial" w:cs="Arial"/>
          <w:sz w:val="24"/>
          <w:lang w:val="en-US"/>
        </w:rPr>
        <w:t>high-altitude</w:t>
      </w:r>
      <w:r w:rsidRPr="00883FC0">
        <w:rPr>
          <w:rFonts w:ascii="Arial" w:hAnsi="Arial" w:cs="Arial"/>
          <w:sz w:val="24"/>
          <w:lang w:val="en-US"/>
        </w:rPr>
        <w:t xml:space="preserve"> summer</w:t>
      </w:r>
      <w:r w:rsidR="00A74ECE" w:rsidRPr="00883FC0">
        <w:rPr>
          <w:rFonts w:ascii="Arial" w:hAnsi="Arial" w:cs="Arial"/>
          <w:sz w:val="24"/>
          <w:lang w:val="en-US"/>
        </w:rPr>
        <w:t xml:space="preserve"> pastures </w:t>
      </w:r>
      <w:r w:rsidR="00A13F18" w:rsidRPr="00883FC0">
        <w:rPr>
          <w:rFonts w:ascii="Arial" w:hAnsi="Arial" w:cs="Arial"/>
          <w:sz w:val="24"/>
          <w:lang w:val="en-US"/>
        </w:rPr>
        <w:t xml:space="preserve">and </w:t>
      </w:r>
      <w:r w:rsidR="00A74ECE" w:rsidRPr="00883FC0">
        <w:rPr>
          <w:rFonts w:ascii="Arial" w:hAnsi="Arial" w:cs="Arial"/>
          <w:sz w:val="24"/>
          <w:lang w:val="en-US"/>
        </w:rPr>
        <w:t>l</w:t>
      </w:r>
      <w:r w:rsidR="00A13F18" w:rsidRPr="00883FC0">
        <w:rPr>
          <w:rFonts w:ascii="Arial" w:hAnsi="Arial" w:cs="Arial"/>
          <w:sz w:val="24"/>
          <w:lang w:val="en-US"/>
        </w:rPr>
        <w:t>i</w:t>
      </w:r>
      <w:r w:rsidR="00A74ECE" w:rsidRPr="00883FC0">
        <w:rPr>
          <w:rFonts w:ascii="Arial" w:hAnsi="Arial" w:cs="Arial"/>
          <w:sz w:val="24"/>
          <w:lang w:val="en-US"/>
        </w:rPr>
        <w:t>v</w:t>
      </w:r>
      <w:r w:rsidR="00A13F18" w:rsidRPr="00883FC0">
        <w:rPr>
          <w:rFonts w:ascii="Arial" w:hAnsi="Arial" w:cs="Arial"/>
          <w:sz w:val="24"/>
          <w:lang w:val="en-US"/>
        </w:rPr>
        <w:t>e</w:t>
      </w:r>
      <w:r w:rsidR="00A74ECE" w:rsidRPr="00883FC0">
        <w:rPr>
          <w:rFonts w:ascii="Arial" w:hAnsi="Arial" w:cs="Arial"/>
          <w:sz w:val="24"/>
          <w:lang w:val="en-US"/>
        </w:rPr>
        <w:t xml:space="preserve"> in sympatry with</w:t>
      </w:r>
      <w:r w:rsidR="00F97268" w:rsidRPr="00883FC0">
        <w:rPr>
          <w:rFonts w:ascii="Arial" w:hAnsi="Arial" w:cs="Arial"/>
          <w:sz w:val="24"/>
          <w:lang w:val="en-US"/>
        </w:rPr>
        <w:t xml:space="preserve"> wild ungulates</w:t>
      </w:r>
      <w:r w:rsidR="00A74ECE" w:rsidRPr="00883FC0">
        <w:rPr>
          <w:rFonts w:ascii="Arial" w:hAnsi="Arial" w:cs="Arial"/>
          <w:sz w:val="24"/>
          <w:lang w:val="en-US"/>
        </w:rPr>
        <w:t xml:space="preserve"> for several months</w:t>
      </w:r>
      <w:r w:rsidR="005E7CD6" w:rsidRPr="00883FC0">
        <w:rPr>
          <w:rFonts w:ascii="Arial" w:hAnsi="Arial" w:cs="Arial"/>
          <w:sz w:val="24"/>
          <w:lang w:val="en-US"/>
        </w:rPr>
        <w:t xml:space="preserve"> each year</w:t>
      </w:r>
      <w:r w:rsidR="00F97268" w:rsidRPr="00883FC0">
        <w:rPr>
          <w:rFonts w:ascii="Arial" w:hAnsi="Arial" w:cs="Arial"/>
          <w:sz w:val="24"/>
          <w:lang w:val="en-US"/>
        </w:rPr>
        <w:t xml:space="preserve">. In </w:t>
      </w:r>
      <w:r w:rsidR="00634F5D" w:rsidRPr="00883FC0">
        <w:rPr>
          <w:rFonts w:ascii="Arial" w:hAnsi="Arial" w:cs="Arial"/>
          <w:sz w:val="24"/>
          <w:lang w:val="en-US"/>
        </w:rPr>
        <w:t>t</w:t>
      </w:r>
      <w:r w:rsidR="00F97268" w:rsidRPr="00883FC0">
        <w:rPr>
          <w:rFonts w:ascii="Arial" w:hAnsi="Arial" w:cs="Arial"/>
          <w:sz w:val="24"/>
          <w:lang w:val="en-US"/>
        </w:rPr>
        <w:t>his study</w:t>
      </w:r>
      <w:r w:rsidR="00440359" w:rsidRPr="00883FC0">
        <w:rPr>
          <w:rFonts w:ascii="Arial" w:hAnsi="Arial" w:cs="Arial"/>
          <w:sz w:val="24"/>
          <w:lang w:val="en-US"/>
        </w:rPr>
        <w:t>,</w:t>
      </w:r>
      <w:r w:rsidR="00F97268" w:rsidRPr="00883FC0">
        <w:rPr>
          <w:rFonts w:ascii="Arial" w:hAnsi="Arial" w:cs="Arial"/>
          <w:sz w:val="24"/>
          <w:lang w:val="en-US"/>
        </w:rPr>
        <w:t xml:space="preserve"> we investigated the nemabiome of </w:t>
      </w:r>
      <w:r w:rsidR="00D66542" w:rsidRPr="00883FC0">
        <w:rPr>
          <w:rFonts w:ascii="Arial" w:hAnsi="Arial" w:cs="Arial"/>
          <w:sz w:val="24"/>
          <w:lang w:val="en-US"/>
        </w:rPr>
        <w:t xml:space="preserve">domestic </w:t>
      </w:r>
      <w:r w:rsidR="00F97268" w:rsidRPr="00883FC0">
        <w:rPr>
          <w:rFonts w:ascii="Arial" w:hAnsi="Arial" w:cs="Arial"/>
          <w:sz w:val="24"/>
          <w:lang w:val="en-US"/>
        </w:rPr>
        <w:t>sheep and</w:t>
      </w:r>
      <w:r w:rsidR="00D66542" w:rsidRPr="00883FC0">
        <w:rPr>
          <w:rFonts w:ascii="Arial" w:hAnsi="Arial" w:cs="Arial"/>
          <w:sz w:val="24"/>
          <w:lang w:val="en-US"/>
        </w:rPr>
        <w:t xml:space="preserve"> Alpine</w:t>
      </w:r>
      <w:r w:rsidR="00F97268" w:rsidRPr="00883FC0">
        <w:rPr>
          <w:rFonts w:ascii="Arial" w:hAnsi="Arial" w:cs="Arial"/>
          <w:sz w:val="24"/>
          <w:lang w:val="en-US"/>
        </w:rPr>
        <w:t xml:space="preserve"> ibex</w:t>
      </w:r>
      <w:r w:rsidR="00D66542" w:rsidRPr="00883FC0">
        <w:rPr>
          <w:rFonts w:ascii="Arial" w:hAnsi="Arial" w:cs="Arial"/>
          <w:sz w:val="24"/>
          <w:lang w:val="en-US"/>
        </w:rPr>
        <w:t xml:space="preserve">, </w:t>
      </w:r>
      <w:r w:rsidR="00D66542" w:rsidRPr="00883FC0">
        <w:rPr>
          <w:rFonts w:ascii="Arial" w:hAnsi="Arial" w:cs="Arial"/>
          <w:i/>
          <w:sz w:val="24"/>
          <w:lang w:val="en-US"/>
        </w:rPr>
        <w:t>Capra ibex</w:t>
      </w:r>
      <w:r w:rsidR="00D66542" w:rsidRPr="00883FC0">
        <w:rPr>
          <w:rFonts w:ascii="Arial" w:hAnsi="Arial" w:cs="Arial"/>
          <w:sz w:val="24"/>
          <w:lang w:val="en-US"/>
        </w:rPr>
        <w:t>,</w:t>
      </w:r>
      <w:r w:rsidR="00DE21E2" w:rsidRPr="00883FC0">
        <w:rPr>
          <w:rFonts w:ascii="Arial" w:hAnsi="Arial" w:cs="Arial"/>
          <w:sz w:val="24"/>
          <w:lang w:val="en-US"/>
        </w:rPr>
        <w:t xml:space="preserve"> in three different areas of the French Alps to </w:t>
      </w:r>
      <w:r w:rsidR="00645160" w:rsidRPr="00883FC0">
        <w:rPr>
          <w:rFonts w:ascii="Arial" w:hAnsi="Arial" w:cs="Arial"/>
          <w:sz w:val="24"/>
          <w:lang w:val="en-US"/>
        </w:rPr>
        <w:t>evaluate parasite</w:t>
      </w:r>
      <w:r w:rsidR="00D66542" w:rsidRPr="00883FC0">
        <w:rPr>
          <w:rFonts w:ascii="Arial" w:hAnsi="Arial" w:cs="Arial"/>
          <w:sz w:val="24"/>
          <w:lang w:val="en-US"/>
        </w:rPr>
        <w:t xml:space="preserve"> circulation</w:t>
      </w:r>
      <w:r w:rsidR="00DE21E2" w:rsidRPr="00883FC0">
        <w:rPr>
          <w:rFonts w:ascii="Arial" w:hAnsi="Arial" w:cs="Arial"/>
          <w:sz w:val="24"/>
          <w:lang w:val="en-US"/>
        </w:rPr>
        <w:t xml:space="preserve"> between the two host species.</w:t>
      </w:r>
      <w:r w:rsidR="00D66542" w:rsidRPr="00883FC0">
        <w:rPr>
          <w:rFonts w:ascii="Arial" w:hAnsi="Arial" w:cs="Arial"/>
          <w:sz w:val="24"/>
          <w:lang w:val="en-US"/>
        </w:rPr>
        <w:t xml:space="preserve"> The Alpine ibex is a protected mountain ungulate that is phylogenetically related to sheep and hosts nematode species common to sheep</w:t>
      </w:r>
      <w:r w:rsidR="003D53A6" w:rsidRPr="00883FC0">
        <w:rPr>
          <w:rFonts w:ascii="Arial" w:hAnsi="Arial" w:cs="Arial"/>
          <w:sz w:val="24"/>
          <w:lang w:val="en-US"/>
        </w:rPr>
        <w:t>.</w:t>
      </w:r>
      <w:r w:rsidR="00645160" w:rsidRPr="00883FC0">
        <w:rPr>
          <w:rFonts w:ascii="Arial" w:hAnsi="Arial" w:cs="Arial"/>
          <w:sz w:val="24"/>
          <w:lang w:val="en-US"/>
        </w:rPr>
        <w:t xml:space="preserve"> </w:t>
      </w:r>
    </w:p>
    <w:p w14:paraId="0FECBE94" w14:textId="5E5AA064" w:rsidR="00974025" w:rsidRPr="00883FC0" w:rsidRDefault="005258E3" w:rsidP="00A0712B">
      <w:pPr>
        <w:spacing w:after="0" w:line="360" w:lineRule="auto"/>
        <w:jc w:val="both"/>
        <w:rPr>
          <w:rFonts w:ascii="Arial" w:hAnsi="Arial" w:cs="Arial"/>
          <w:sz w:val="24"/>
          <w:lang w:val="en-US"/>
        </w:rPr>
      </w:pPr>
      <w:r w:rsidRPr="00883FC0">
        <w:rPr>
          <w:rFonts w:ascii="Arial" w:hAnsi="Arial" w:cs="Arial"/>
          <w:sz w:val="24"/>
          <w:lang w:val="en-US"/>
        </w:rPr>
        <w:t xml:space="preserve">Using </w:t>
      </w:r>
      <w:r w:rsidR="00BF1265" w:rsidRPr="00883FC0">
        <w:rPr>
          <w:rFonts w:ascii="Arial" w:hAnsi="Arial" w:cs="Arial"/>
          <w:sz w:val="24"/>
          <w:lang w:val="en-US"/>
        </w:rPr>
        <w:t xml:space="preserve">internal transcribed spacer 2 (ITS-2) nemabiome metabarcoding, we </w:t>
      </w:r>
      <w:r w:rsidR="003F36B8" w:rsidRPr="00883FC0">
        <w:rPr>
          <w:rFonts w:ascii="Arial" w:hAnsi="Arial" w:cs="Arial"/>
          <w:sz w:val="24"/>
          <w:lang w:val="en-US"/>
        </w:rPr>
        <w:t xml:space="preserve">found sheep and ibex </w:t>
      </w:r>
      <w:r w:rsidR="00BF1265" w:rsidRPr="00883FC0">
        <w:rPr>
          <w:rFonts w:ascii="Arial" w:hAnsi="Arial" w:cs="Arial"/>
          <w:sz w:val="24"/>
          <w:lang w:val="en-US"/>
        </w:rPr>
        <w:t>s</w:t>
      </w:r>
      <w:r w:rsidR="003F36B8" w:rsidRPr="00883FC0">
        <w:rPr>
          <w:rFonts w:ascii="Arial" w:hAnsi="Arial" w:cs="Arial"/>
          <w:sz w:val="24"/>
          <w:lang w:val="en-US"/>
        </w:rPr>
        <w:t>ha</w:t>
      </w:r>
      <w:r w:rsidR="00BF1265" w:rsidRPr="00883FC0">
        <w:rPr>
          <w:rFonts w:ascii="Arial" w:hAnsi="Arial" w:cs="Arial"/>
          <w:sz w:val="24"/>
          <w:lang w:val="en-US"/>
        </w:rPr>
        <w:t>r</w:t>
      </w:r>
      <w:r w:rsidR="00A13F18" w:rsidRPr="00883FC0">
        <w:rPr>
          <w:rFonts w:ascii="Arial" w:hAnsi="Arial" w:cs="Arial"/>
          <w:sz w:val="24"/>
          <w:lang w:val="en-US"/>
        </w:rPr>
        <w:t>e</w:t>
      </w:r>
      <w:r w:rsidR="003F36B8" w:rsidRPr="00883FC0">
        <w:rPr>
          <w:rFonts w:ascii="Arial" w:hAnsi="Arial" w:cs="Arial"/>
          <w:sz w:val="24"/>
          <w:lang w:val="en-US"/>
        </w:rPr>
        <w:t xml:space="preserve"> similar </w:t>
      </w:r>
      <w:r w:rsidR="00BF1265" w:rsidRPr="00883FC0">
        <w:rPr>
          <w:rFonts w:ascii="Arial" w:hAnsi="Arial" w:cs="Arial"/>
          <w:sz w:val="24"/>
          <w:lang w:val="en-US"/>
        </w:rPr>
        <w:t>gastrointestinal nematodes</w:t>
      </w:r>
      <w:r w:rsidR="003F36B8" w:rsidRPr="00883FC0">
        <w:rPr>
          <w:rFonts w:ascii="Arial" w:hAnsi="Arial" w:cs="Arial"/>
          <w:sz w:val="24"/>
          <w:lang w:val="en-US"/>
        </w:rPr>
        <w:t>, except for</w:t>
      </w:r>
      <w:r w:rsidR="00BF1265" w:rsidRPr="00883FC0">
        <w:rPr>
          <w:rFonts w:ascii="Arial" w:hAnsi="Arial" w:cs="Arial"/>
          <w:sz w:val="24"/>
          <w:lang w:val="en-US"/>
        </w:rPr>
        <w:t xml:space="preserve"> a</w:t>
      </w:r>
      <w:r w:rsidR="003F36B8" w:rsidRPr="00883FC0">
        <w:rPr>
          <w:rFonts w:ascii="Arial" w:hAnsi="Arial" w:cs="Arial"/>
          <w:sz w:val="24"/>
          <w:lang w:val="en-US"/>
        </w:rPr>
        <w:t xml:space="preserve"> few species such as </w:t>
      </w:r>
      <w:r w:rsidR="003F36B8" w:rsidRPr="00883FC0">
        <w:rPr>
          <w:rFonts w:ascii="Arial" w:hAnsi="Arial" w:cs="Arial"/>
          <w:i/>
          <w:sz w:val="24"/>
          <w:lang w:val="en-US"/>
        </w:rPr>
        <w:t xml:space="preserve">Marshallagia marshalli </w:t>
      </w:r>
      <w:r w:rsidR="003F36B8" w:rsidRPr="00883FC0">
        <w:rPr>
          <w:rFonts w:ascii="Arial" w:hAnsi="Arial" w:cs="Arial"/>
          <w:sz w:val="24"/>
          <w:lang w:val="en-US"/>
        </w:rPr>
        <w:t xml:space="preserve">and </w:t>
      </w:r>
      <w:r w:rsidR="003F36B8" w:rsidRPr="00883FC0">
        <w:rPr>
          <w:rFonts w:ascii="Arial" w:hAnsi="Arial" w:cs="Arial"/>
          <w:i/>
          <w:sz w:val="24"/>
          <w:lang w:val="en-US"/>
        </w:rPr>
        <w:t xml:space="preserve">Trichostrongylus </w:t>
      </w:r>
      <w:r w:rsidR="00965794" w:rsidRPr="00883FC0">
        <w:rPr>
          <w:rFonts w:ascii="Arial" w:hAnsi="Arial" w:cs="Arial"/>
          <w:i/>
          <w:sz w:val="24"/>
          <w:lang w:val="en-US"/>
        </w:rPr>
        <w:t>axei</w:t>
      </w:r>
      <w:r w:rsidR="003F36B8" w:rsidRPr="00883FC0">
        <w:rPr>
          <w:rFonts w:ascii="Arial" w:hAnsi="Arial" w:cs="Arial"/>
          <w:sz w:val="24"/>
          <w:lang w:val="en-US"/>
        </w:rPr>
        <w:t xml:space="preserve">. </w:t>
      </w:r>
      <w:r w:rsidR="00634F5D" w:rsidRPr="00883FC0">
        <w:rPr>
          <w:rFonts w:ascii="Arial" w:hAnsi="Arial" w:cs="Arial"/>
          <w:sz w:val="24"/>
          <w:lang w:val="en-US"/>
        </w:rPr>
        <w:t xml:space="preserve">This suggests that the </w:t>
      </w:r>
      <w:r w:rsidR="00965794" w:rsidRPr="00883FC0">
        <w:rPr>
          <w:rFonts w:ascii="Arial" w:hAnsi="Arial" w:cs="Arial"/>
          <w:sz w:val="24"/>
          <w:lang w:val="en-US"/>
        </w:rPr>
        <w:t>long-term</w:t>
      </w:r>
      <w:r w:rsidR="00634F5D" w:rsidRPr="00883FC0">
        <w:rPr>
          <w:rFonts w:ascii="Arial" w:hAnsi="Arial" w:cs="Arial"/>
          <w:sz w:val="24"/>
          <w:lang w:val="en-US"/>
        </w:rPr>
        <w:t xml:space="preserve"> co-occurrence of sheep and ibex </w:t>
      </w:r>
      <w:r w:rsidR="00DE21E2" w:rsidRPr="00883FC0">
        <w:rPr>
          <w:rFonts w:ascii="Arial" w:hAnsi="Arial" w:cs="Arial"/>
          <w:sz w:val="24"/>
          <w:lang w:val="en-US"/>
        </w:rPr>
        <w:t>o</w:t>
      </w:r>
      <w:r w:rsidR="00634F5D" w:rsidRPr="00883FC0">
        <w:rPr>
          <w:rFonts w:ascii="Arial" w:hAnsi="Arial" w:cs="Arial"/>
          <w:sz w:val="24"/>
          <w:lang w:val="en-US"/>
        </w:rPr>
        <w:t xml:space="preserve">n mountain pastures </w:t>
      </w:r>
      <w:r w:rsidR="00965794" w:rsidRPr="00883FC0">
        <w:rPr>
          <w:rFonts w:ascii="Arial" w:hAnsi="Arial" w:cs="Arial"/>
          <w:sz w:val="24"/>
          <w:lang w:val="en-US"/>
        </w:rPr>
        <w:t xml:space="preserve">has </w:t>
      </w:r>
      <w:r w:rsidR="00DE21E2" w:rsidRPr="00883FC0">
        <w:rPr>
          <w:rFonts w:ascii="Arial" w:hAnsi="Arial" w:cs="Arial"/>
          <w:sz w:val="24"/>
          <w:lang w:val="en-US"/>
        </w:rPr>
        <w:t>promoted</w:t>
      </w:r>
      <w:r w:rsidR="00965794" w:rsidRPr="00883FC0">
        <w:rPr>
          <w:rFonts w:ascii="Arial" w:hAnsi="Arial" w:cs="Arial"/>
          <w:sz w:val="24"/>
          <w:lang w:val="en-US"/>
        </w:rPr>
        <w:t xml:space="preserve"> the exchange of gastrointestinal nematodes between </w:t>
      </w:r>
      <w:r w:rsidR="00BF1265" w:rsidRPr="00883FC0">
        <w:rPr>
          <w:rFonts w:ascii="Arial" w:hAnsi="Arial" w:cs="Arial"/>
          <w:sz w:val="24"/>
          <w:lang w:val="en-US"/>
        </w:rPr>
        <w:t>the two hosts</w:t>
      </w:r>
      <w:r w:rsidR="007459B3" w:rsidRPr="00883FC0">
        <w:rPr>
          <w:rFonts w:ascii="Arial" w:hAnsi="Arial" w:cs="Arial"/>
          <w:sz w:val="24"/>
          <w:lang w:val="en-US"/>
        </w:rPr>
        <w:t>.</w:t>
      </w:r>
      <w:r w:rsidR="00BF1265" w:rsidRPr="00883FC0">
        <w:rPr>
          <w:rFonts w:ascii="Arial" w:hAnsi="Arial" w:cs="Arial"/>
          <w:sz w:val="24"/>
          <w:lang w:val="en-US"/>
        </w:rPr>
        <w:t xml:space="preserve"> Based on the sequencing of the isotype 1 of the beta tubulin gene, associated with benzimidazole resistance, we</w:t>
      </w:r>
      <w:r w:rsidR="00DE21E2" w:rsidRPr="00883FC0">
        <w:rPr>
          <w:rFonts w:ascii="Arial" w:hAnsi="Arial" w:cs="Arial"/>
          <w:sz w:val="24"/>
          <w:lang w:val="en-US"/>
        </w:rPr>
        <w:t xml:space="preserve"> found </w:t>
      </w:r>
      <w:r w:rsidR="003C02D4" w:rsidRPr="00883FC0">
        <w:rPr>
          <w:rFonts w:ascii="Arial" w:hAnsi="Arial" w:cs="Arial"/>
          <w:sz w:val="24"/>
          <w:lang w:val="en-US"/>
        </w:rPr>
        <w:t xml:space="preserve">resistant nematodes in </w:t>
      </w:r>
      <w:r w:rsidR="00DE21E2" w:rsidRPr="00883FC0">
        <w:rPr>
          <w:rFonts w:ascii="Arial" w:hAnsi="Arial" w:cs="Arial"/>
          <w:sz w:val="24"/>
          <w:lang w:val="en-US"/>
        </w:rPr>
        <w:t>all sheep f</w:t>
      </w:r>
      <w:r w:rsidR="00A13F18" w:rsidRPr="00883FC0">
        <w:rPr>
          <w:rFonts w:ascii="Arial" w:hAnsi="Arial" w:cs="Arial"/>
          <w:sz w:val="24"/>
          <w:lang w:val="en-US"/>
        </w:rPr>
        <w:t>locks</w:t>
      </w:r>
      <w:r w:rsidR="00DE21E2" w:rsidRPr="00883FC0">
        <w:rPr>
          <w:rFonts w:ascii="Arial" w:hAnsi="Arial" w:cs="Arial"/>
          <w:sz w:val="24"/>
          <w:lang w:val="en-US"/>
        </w:rPr>
        <w:t xml:space="preserve"> and in all </w:t>
      </w:r>
      <w:r w:rsidR="00A13F18" w:rsidRPr="00883FC0">
        <w:rPr>
          <w:rFonts w:ascii="Arial" w:hAnsi="Arial" w:cs="Arial"/>
          <w:sz w:val="24"/>
          <w:lang w:val="en-US"/>
        </w:rPr>
        <w:t>i</w:t>
      </w:r>
      <w:r w:rsidR="00DE21E2" w:rsidRPr="00883FC0">
        <w:rPr>
          <w:rFonts w:ascii="Arial" w:hAnsi="Arial" w:cs="Arial"/>
          <w:sz w:val="24"/>
          <w:lang w:val="en-US"/>
        </w:rPr>
        <w:t>bex populations</w:t>
      </w:r>
      <w:r w:rsidR="003C02D4" w:rsidRPr="00883FC0">
        <w:rPr>
          <w:rFonts w:ascii="Arial" w:hAnsi="Arial" w:cs="Arial"/>
          <w:sz w:val="24"/>
          <w:lang w:val="en-US"/>
        </w:rPr>
        <w:t>. Our results</w:t>
      </w:r>
      <w:r w:rsidR="00DE21E2" w:rsidRPr="00883FC0">
        <w:rPr>
          <w:rFonts w:ascii="Arial" w:hAnsi="Arial" w:cs="Arial"/>
          <w:sz w:val="24"/>
          <w:lang w:val="en-US"/>
        </w:rPr>
        <w:t xml:space="preserve"> demonstrat</w:t>
      </w:r>
      <w:r w:rsidR="003C02D4" w:rsidRPr="00883FC0">
        <w:rPr>
          <w:rFonts w:ascii="Arial" w:hAnsi="Arial" w:cs="Arial"/>
          <w:sz w:val="24"/>
          <w:lang w:val="en-US"/>
        </w:rPr>
        <w:t>ed</w:t>
      </w:r>
      <w:r w:rsidR="00DE21E2" w:rsidRPr="00883FC0">
        <w:rPr>
          <w:rFonts w:ascii="Arial" w:hAnsi="Arial" w:cs="Arial"/>
          <w:sz w:val="24"/>
          <w:lang w:val="en-US"/>
        </w:rPr>
        <w:t xml:space="preserve"> that </w:t>
      </w:r>
      <w:r w:rsidR="00A13F18" w:rsidRPr="00883FC0">
        <w:rPr>
          <w:rFonts w:ascii="Arial" w:hAnsi="Arial" w:cs="Arial"/>
          <w:sz w:val="24"/>
          <w:lang w:val="en-US"/>
        </w:rPr>
        <w:t>i</w:t>
      </w:r>
      <w:r w:rsidR="00DE21E2" w:rsidRPr="00883FC0">
        <w:rPr>
          <w:rFonts w:ascii="Arial" w:hAnsi="Arial" w:cs="Arial"/>
          <w:sz w:val="24"/>
          <w:lang w:val="en-US"/>
        </w:rPr>
        <w:t xml:space="preserve">bex </w:t>
      </w:r>
      <w:proofErr w:type="gramStart"/>
      <w:r w:rsidR="005A622C" w:rsidRPr="00883FC0">
        <w:rPr>
          <w:rFonts w:ascii="Arial" w:hAnsi="Arial" w:cs="Arial"/>
          <w:sz w:val="24"/>
          <w:lang w:val="en-US"/>
        </w:rPr>
        <w:t>can</w:t>
      </w:r>
      <w:proofErr w:type="gramEnd"/>
      <w:r w:rsidR="005A622C" w:rsidRPr="00883FC0">
        <w:rPr>
          <w:rFonts w:ascii="Arial" w:hAnsi="Arial" w:cs="Arial"/>
          <w:sz w:val="24"/>
          <w:lang w:val="en-US"/>
        </w:rPr>
        <w:t xml:space="preserve"> host and shed </w:t>
      </w:r>
      <w:r w:rsidR="00DE21E2" w:rsidRPr="00883FC0">
        <w:rPr>
          <w:rFonts w:ascii="Arial" w:hAnsi="Arial" w:cs="Arial"/>
          <w:sz w:val="24"/>
          <w:lang w:val="en-US"/>
        </w:rPr>
        <w:t xml:space="preserve">resistant </w:t>
      </w:r>
      <w:r w:rsidR="009672DC" w:rsidRPr="00883FC0">
        <w:rPr>
          <w:rFonts w:ascii="Arial" w:hAnsi="Arial" w:cs="Arial"/>
          <w:sz w:val="24"/>
          <w:lang w:val="en-US"/>
        </w:rPr>
        <w:t>strains</w:t>
      </w:r>
      <w:r w:rsidR="00DE21E2" w:rsidRPr="00883FC0">
        <w:rPr>
          <w:rFonts w:ascii="Arial" w:hAnsi="Arial" w:cs="Arial"/>
          <w:sz w:val="24"/>
          <w:lang w:val="en-US"/>
        </w:rPr>
        <w:t xml:space="preserve"> </w:t>
      </w:r>
      <w:r w:rsidR="005A622C" w:rsidRPr="00883FC0">
        <w:rPr>
          <w:rFonts w:ascii="Arial" w:hAnsi="Arial" w:cs="Arial"/>
          <w:sz w:val="24"/>
          <w:lang w:val="en-US"/>
        </w:rPr>
        <w:t xml:space="preserve">before </w:t>
      </w:r>
      <w:r w:rsidR="00DE21E2" w:rsidRPr="00883FC0">
        <w:rPr>
          <w:rFonts w:ascii="Arial" w:hAnsi="Arial" w:cs="Arial"/>
          <w:sz w:val="24"/>
          <w:lang w:val="en-US"/>
        </w:rPr>
        <w:t>transhumant sheep</w:t>
      </w:r>
      <w:r w:rsidR="005A622C" w:rsidRPr="00883FC0">
        <w:rPr>
          <w:rFonts w:ascii="Arial" w:hAnsi="Arial" w:cs="Arial"/>
          <w:sz w:val="24"/>
          <w:lang w:val="en-US"/>
        </w:rPr>
        <w:t xml:space="preserve"> arrive on pastures</w:t>
      </w:r>
      <w:r w:rsidR="003C02D4" w:rsidRPr="00883FC0">
        <w:rPr>
          <w:rFonts w:ascii="Arial" w:hAnsi="Arial" w:cs="Arial"/>
          <w:sz w:val="24"/>
          <w:lang w:val="en-US"/>
        </w:rPr>
        <w:t>, and th</w:t>
      </w:r>
      <w:r w:rsidR="00A36B0F" w:rsidRPr="00883FC0">
        <w:rPr>
          <w:rFonts w:ascii="Arial" w:hAnsi="Arial" w:cs="Arial"/>
          <w:sz w:val="24"/>
          <w:lang w:val="en-US"/>
        </w:rPr>
        <w:t>us</w:t>
      </w:r>
      <w:r w:rsidR="003C02D4" w:rsidRPr="00883FC0">
        <w:rPr>
          <w:rFonts w:ascii="Arial" w:hAnsi="Arial" w:cs="Arial"/>
          <w:sz w:val="24"/>
          <w:lang w:val="en-US"/>
        </w:rPr>
        <w:t xml:space="preserve"> </w:t>
      </w:r>
      <w:r w:rsidR="00DD4C19" w:rsidRPr="00883FC0">
        <w:rPr>
          <w:rFonts w:ascii="Arial" w:hAnsi="Arial" w:cs="Arial"/>
          <w:sz w:val="24"/>
          <w:lang w:val="en-US"/>
        </w:rPr>
        <w:t xml:space="preserve">could act as </w:t>
      </w:r>
      <w:r w:rsidR="002237AC" w:rsidRPr="002237AC">
        <w:rPr>
          <w:rFonts w:ascii="Arial" w:hAnsi="Arial" w:cs="Arial"/>
          <w:sz w:val="24"/>
          <w:highlight w:val="yellow"/>
          <w:lang w:val="en-US"/>
        </w:rPr>
        <w:t>a</w:t>
      </w:r>
      <w:r w:rsidR="002237AC">
        <w:rPr>
          <w:rFonts w:ascii="Arial" w:hAnsi="Arial" w:cs="Arial"/>
          <w:sz w:val="24"/>
          <w:lang w:val="en-US"/>
        </w:rPr>
        <w:t xml:space="preserve"> </w:t>
      </w:r>
      <w:r w:rsidR="00DD4C19" w:rsidRPr="00883FC0">
        <w:rPr>
          <w:rFonts w:ascii="Arial" w:hAnsi="Arial" w:cs="Arial"/>
          <w:sz w:val="24"/>
          <w:lang w:val="en-US"/>
        </w:rPr>
        <w:t>refuge or even contribute to maintain</w:t>
      </w:r>
      <w:r w:rsidR="002237AC" w:rsidRPr="002237AC">
        <w:rPr>
          <w:rFonts w:ascii="Arial" w:hAnsi="Arial" w:cs="Arial"/>
          <w:sz w:val="24"/>
          <w:highlight w:val="yellow"/>
          <w:lang w:val="en-US"/>
        </w:rPr>
        <w:t>ing</w:t>
      </w:r>
      <w:r w:rsidR="00DD4C19" w:rsidRPr="00883FC0">
        <w:rPr>
          <w:rFonts w:ascii="Arial" w:hAnsi="Arial" w:cs="Arial"/>
          <w:sz w:val="24"/>
          <w:lang w:val="en-US"/>
        </w:rPr>
        <w:t xml:space="preserve"> resistant gastrointestinal nematodes</w:t>
      </w:r>
      <w:r w:rsidR="00880180" w:rsidRPr="00883FC0">
        <w:rPr>
          <w:rFonts w:ascii="Arial" w:hAnsi="Arial" w:cs="Arial"/>
          <w:sz w:val="24"/>
          <w:lang w:val="en-US"/>
        </w:rPr>
        <w:t>. T</w:t>
      </w:r>
      <w:r w:rsidR="00DE21E2" w:rsidRPr="00883FC0">
        <w:rPr>
          <w:rFonts w:ascii="Arial" w:hAnsi="Arial" w:cs="Arial"/>
          <w:sz w:val="24"/>
          <w:lang w:val="en-US"/>
        </w:rPr>
        <w:t>he relative</w:t>
      </w:r>
      <w:r w:rsidR="00880180" w:rsidRPr="00883FC0">
        <w:rPr>
          <w:rFonts w:ascii="Arial" w:hAnsi="Arial" w:cs="Arial"/>
          <w:sz w:val="24"/>
          <w:lang w:val="en-US"/>
        </w:rPr>
        <w:t xml:space="preserve"> role of</w:t>
      </w:r>
      <w:r w:rsidR="00DE21E2" w:rsidRPr="00883FC0">
        <w:rPr>
          <w:rFonts w:ascii="Arial" w:hAnsi="Arial" w:cs="Arial"/>
          <w:sz w:val="24"/>
          <w:lang w:val="en-US"/>
        </w:rPr>
        <w:t xml:space="preserve"> ibex </w:t>
      </w:r>
      <w:r w:rsidR="00A36B0F" w:rsidRPr="00883FC0">
        <w:rPr>
          <w:rFonts w:ascii="Arial" w:hAnsi="Arial" w:cs="Arial"/>
          <w:sz w:val="24"/>
          <w:lang w:val="en-US"/>
        </w:rPr>
        <w:t xml:space="preserve">in </w:t>
      </w:r>
      <w:r w:rsidR="00880180" w:rsidRPr="00883FC0">
        <w:rPr>
          <w:rFonts w:ascii="Arial" w:hAnsi="Arial" w:cs="Arial"/>
          <w:sz w:val="24"/>
          <w:lang w:val="en-US"/>
        </w:rPr>
        <w:t>the maintenance and circulation of resistant strains in sheep</w:t>
      </w:r>
      <w:r w:rsidR="00DE21E2" w:rsidRPr="00883FC0">
        <w:rPr>
          <w:rFonts w:ascii="Arial" w:hAnsi="Arial" w:cs="Arial"/>
          <w:sz w:val="24"/>
          <w:lang w:val="en-US"/>
        </w:rPr>
        <w:t xml:space="preserve"> remain to be determined.</w:t>
      </w:r>
      <w:r w:rsidR="007459B3" w:rsidRPr="00883FC0">
        <w:rPr>
          <w:rFonts w:ascii="Arial" w:hAnsi="Arial" w:cs="Arial"/>
          <w:sz w:val="24"/>
          <w:lang w:val="en-US"/>
        </w:rPr>
        <w:t xml:space="preserve"> </w:t>
      </w:r>
    </w:p>
    <w:p w14:paraId="635AF926" w14:textId="63FE8A92" w:rsidR="00B82943" w:rsidRPr="00883FC0" w:rsidRDefault="00B82943" w:rsidP="00A0712B">
      <w:pPr>
        <w:spacing w:after="0" w:line="360" w:lineRule="auto"/>
        <w:rPr>
          <w:rFonts w:ascii="Arial" w:hAnsi="Arial" w:cs="Arial"/>
          <w:lang w:val="en-US"/>
        </w:rPr>
      </w:pPr>
    </w:p>
    <w:p w14:paraId="3716E50C" w14:textId="3D55BB5A" w:rsidR="008C1A01" w:rsidRPr="00883FC0" w:rsidRDefault="00880180" w:rsidP="00A0712B">
      <w:pPr>
        <w:spacing w:after="0" w:line="360" w:lineRule="auto"/>
        <w:jc w:val="both"/>
        <w:rPr>
          <w:rFonts w:ascii="Arial" w:hAnsi="Arial" w:cs="Arial"/>
          <w:sz w:val="24"/>
          <w:szCs w:val="24"/>
          <w:lang w:val="en-US"/>
        </w:rPr>
      </w:pPr>
      <w:r w:rsidRPr="00883FC0">
        <w:rPr>
          <w:rFonts w:ascii="Arial" w:hAnsi="Arial" w:cs="Arial"/>
          <w:b/>
          <w:i/>
          <w:sz w:val="24"/>
          <w:szCs w:val="24"/>
          <w:lang w:val="en-US"/>
        </w:rPr>
        <w:t>Keywords</w:t>
      </w:r>
      <w:r w:rsidRPr="00883FC0">
        <w:rPr>
          <w:rFonts w:ascii="Arial" w:hAnsi="Arial" w:cs="Arial"/>
          <w:sz w:val="24"/>
          <w:szCs w:val="24"/>
          <w:lang w:val="en-US"/>
        </w:rPr>
        <w:t xml:space="preserve">: ITS-2 rDNA, benzimidazole resistance; </w:t>
      </w:r>
      <w:r w:rsidR="009E3B6C" w:rsidRPr="00883FC0">
        <w:rPr>
          <w:rFonts w:ascii="Arial" w:hAnsi="Arial" w:cs="Arial"/>
          <w:sz w:val="24"/>
          <w:szCs w:val="24"/>
          <w:lang w:val="en-US"/>
        </w:rPr>
        <w:t>β-tubulin isotype 1</w:t>
      </w:r>
      <w:r w:rsidRPr="00883FC0">
        <w:rPr>
          <w:rFonts w:ascii="Arial" w:hAnsi="Arial" w:cs="Arial"/>
          <w:sz w:val="24"/>
          <w:szCs w:val="24"/>
          <w:lang w:val="en-US"/>
        </w:rPr>
        <w:t>; livestock; nemabiome metabarcoding; wild ungulates, transhumant sheep, Alpine ibex</w:t>
      </w:r>
    </w:p>
    <w:p w14:paraId="43737FCB" w14:textId="1F7FA4D4" w:rsidR="000D0899" w:rsidRPr="00883FC0" w:rsidRDefault="000D0899" w:rsidP="00A0712B">
      <w:pPr>
        <w:spacing w:after="0" w:line="360" w:lineRule="auto"/>
        <w:jc w:val="both"/>
        <w:rPr>
          <w:rFonts w:ascii="Arial" w:hAnsi="Arial" w:cs="Arial"/>
          <w:sz w:val="24"/>
          <w:szCs w:val="24"/>
          <w:lang w:val="en-US"/>
        </w:rPr>
      </w:pPr>
    </w:p>
    <w:p w14:paraId="7EE32763" w14:textId="77777777" w:rsidR="000D0899" w:rsidRPr="00883FC0" w:rsidRDefault="000D0899" w:rsidP="00A0712B">
      <w:pPr>
        <w:spacing w:after="0" w:line="360" w:lineRule="auto"/>
        <w:jc w:val="both"/>
        <w:rPr>
          <w:rFonts w:ascii="Arial" w:hAnsi="Arial" w:cs="Arial"/>
          <w:sz w:val="24"/>
          <w:szCs w:val="24"/>
          <w:lang w:val="en-US"/>
        </w:rPr>
      </w:pPr>
    </w:p>
    <w:p w14:paraId="1CB42C9E" w14:textId="3D342A1C" w:rsidR="008C1A01" w:rsidRPr="00883FC0" w:rsidRDefault="008C1A01" w:rsidP="00A0712B">
      <w:pPr>
        <w:spacing w:after="0" w:line="360" w:lineRule="auto"/>
        <w:rPr>
          <w:rFonts w:ascii="Arial" w:hAnsi="Arial" w:cs="Arial"/>
          <w:lang w:val="en-US"/>
        </w:rPr>
      </w:pPr>
    </w:p>
    <w:p w14:paraId="15403B0F" w14:textId="5FC4255D" w:rsidR="008C1A01" w:rsidRPr="00883FC0" w:rsidRDefault="008C1A01" w:rsidP="00A0712B">
      <w:pPr>
        <w:spacing w:after="0" w:line="360" w:lineRule="auto"/>
        <w:rPr>
          <w:rFonts w:ascii="Arial" w:hAnsi="Arial" w:cs="Arial"/>
          <w:lang w:val="en-US"/>
        </w:rPr>
      </w:pPr>
    </w:p>
    <w:p w14:paraId="02DA3ED3" w14:textId="77777777" w:rsidR="00B2602C" w:rsidRPr="00883FC0" w:rsidRDefault="00B2602C" w:rsidP="00A0712B">
      <w:pPr>
        <w:spacing w:after="0" w:line="360" w:lineRule="auto"/>
        <w:rPr>
          <w:rFonts w:ascii="Arial" w:hAnsi="Arial" w:cs="Arial"/>
          <w:lang w:val="en-US"/>
        </w:rPr>
      </w:pPr>
    </w:p>
    <w:p w14:paraId="609D9125" w14:textId="329E24C0" w:rsidR="006463F4" w:rsidRPr="00883FC0" w:rsidRDefault="006463F4" w:rsidP="00A0712B">
      <w:pPr>
        <w:pStyle w:val="Titre2"/>
        <w:spacing w:before="0" w:line="360" w:lineRule="auto"/>
        <w:jc w:val="center"/>
        <w:rPr>
          <w:rFonts w:ascii="Arial" w:hAnsi="Arial" w:cs="Arial"/>
          <w:b/>
          <w:color w:val="auto"/>
          <w:sz w:val="28"/>
          <w:lang w:val="en-US"/>
        </w:rPr>
      </w:pPr>
      <w:bookmarkStart w:id="0" w:name="_Toc129193237"/>
      <w:r w:rsidRPr="00883FC0">
        <w:rPr>
          <w:rFonts w:ascii="Arial" w:hAnsi="Arial" w:cs="Arial"/>
          <w:b/>
          <w:color w:val="auto"/>
          <w:sz w:val="28"/>
          <w:lang w:val="en-US"/>
        </w:rPr>
        <w:lastRenderedPageBreak/>
        <w:t>Introduction</w:t>
      </w:r>
      <w:bookmarkEnd w:id="0"/>
    </w:p>
    <w:p w14:paraId="17D60FA9" w14:textId="77777777" w:rsidR="006463F4" w:rsidRPr="00883FC0" w:rsidRDefault="006463F4" w:rsidP="00A0712B">
      <w:pPr>
        <w:spacing w:after="0" w:line="360" w:lineRule="auto"/>
        <w:rPr>
          <w:rFonts w:ascii="Arial" w:hAnsi="Arial" w:cs="Arial"/>
          <w:lang w:val="en-US"/>
        </w:rPr>
      </w:pPr>
    </w:p>
    <w:p w14:paraId="58E87CC9" w14:textId="20390015" w:rsidR="00685709" w:rsidRPr="00883FC0" w:rsidRDefault="00685709"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 xml:space="preserve">Parasites represent a large proportion of animal diversity and are key components of food webs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{"citationID":"a1orb2mdpvt","properties":{"formattedCitation":"(Hudson et al., 2006)","plainCitation":"(Hudson et al., 2006)","noteIndex":0},"citationItems":[{"id":1243,"uris":["http://zotero.org/users/local/NciqjDvn/items/UKZYVA45"],"itemData":{"id":1243,"type":"article-journal","abstract":"Historically, the role of parasites in ecosystem functioning has been considered trivial because a cursory examination reveals that their relative biomass is low compared with that of other trophic groups. However there is increasing evidence that parasite-mediated effects could be significant: they shape host population dynamics, alter interspecific competition, influence energy flow and appear to be important drivers of biodiversity. Indeed they influence a range of ecosystem functions and have a major effect on the structure of some food webs. Here, we consider the bottom-up and top-down processes of how parasitism influences ecosystem functioning and show that there is evidence that parasites are important for biodiversity and production; thus, we consider a healthy system to be one that is rich in parasite species.","collection-title":"Twenty years of TREE - part 2","container-title":"Trends in Ecology &amp; Evolution","DOI":"10.1016/j.tree.2006.04.007","ISSN":"0169-5347","issue":"7","journalAbbreviation":"Trends in Ecology &amp; Evolution","language":"en","page":"381-385","source":"ScienceDirect","title":"Is a healthy ecosystem one that is rich in parasites?","volume":"21","author":[{"family":"Hudson","given":"Peter J."},{"family":"Dobson","given":"Andrew P."},{"family":"Lafferty","given":"Kevin D."}],"issued":{"date-parts":[["2006",7,1]]}}}],"schema":"https://github.com/citation-style-language/schema/raw/master/csl-citation.json"}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(Hudson et al., 2006)</w:t>
      </w:r>
      <w:r w:rsidRPr="00883FC0">
        <w:rPr>
          <w:rFonts w:ascii="Arial" w:hAnsi="Arial" w:cs="Arial"/>
          <w:sz w:val="24"/>
          <w:szCs w:val="24"/>
          <w:lang w:val="en-GB"/>
        </w:rPr>
        <w:fldChar w:fldCharType="end"/>
      </w:r>
      <w:r w:rsidR="00A36BC4" w:rsidRPr="00883FC0">
        <w:rPr>
          <w:rFonts w:ascii="Arial" w:hAnsi="Arial" w:cs="Arial"/>
          <w:sz w:val="24"/>
          <w:szCs w:val="24"/>
          <w:lang w:val="en-GB"/>
        </w:rPr>
        <w:t>. They are also</w:t>
      </w:r>
      <w:r w:rsidRPr="00883FC0">
        <w:rPr>
          <w:rFonts w:ascii="Arial" w:hAnsi="Arial" w:cs="Arial"/>
          <w:sz w:val="24"/>
          <w:szCs w:val="24"/>
          <w:lang w:val="en-GB"/>
        </w:rPr>
        <w:t xml:space="preserve"> essential determinants of the health, fitness, population dynamics and community composition of their hosts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{"citationID":"a16f9iar6gf","properties":{"formattedCitation":"(Tompkins et al., 2011)","plainCitation":"(Tompkins et al., 2011)","noteIndex":0},"citationItems":[{"id":1257,"uris":["http://zotero.org/users/local/NciqjDvn/items/9SPJLCHY",["http://zotero.org/users/local/NciqjDvn/items/9SPJLCHY"]],"itemData":{"id":1257,"type":"article-journal","abstract":"1. We review our ecological understanding of wildlife infectious diseases from the individual host to the ecosystem scale, highlighting where conceptual thinking lacks verification, discussing difficulties and challenges, and offering potential future research directions. 2. New molecular approaches hold potential to increase our understanding of parasite interactions within hosts. Also, advances in our knowledge of immune systems makes immunological parameters viable measures of parasite exposure, and useful tools for improving our understanding of causal mechanisms. 3. Studies of transmission dynamics have revealed the importance of heterogeneity in host behaviour and physiology, and of contact processes operating at different spatial and temporal scales. An important future challenge is to determine the key transmission mechanisms maintaining the persistence of different types of diseases in the wild. 4. Regulation of host populations is too complex to consider parasite effects in isolation from other factors. One solution is to seek a unified understanding of the conditions under which (and the ecological rules determining when) population scale impacts of parasites can occur. 5. Good evidence now shows that both direct effects of parasites, and trait mediated indirect effects, frequently mediate the success of invasive species and their impacts on recipient communities. A wider exploration of these effects is now needed. 6. At the ecosystem scale, research is needed to characterize the circumstances and conditions under which both fluxes in parasite biomass, and trait mediated effects, are significant in ecosystem processes, and to demonstrate that parasites do indeed increase ‘ecosystem health’. 7. There is a general need for more empirical testing of predictions and subsequent development of theory in the classic research cycle. Experimental field studies, meta-analyses, the collection and analysis of long-term data sets, and data constrained modelling, will all be key to advancing our understanding. 8. Finally, we are only now beginning to understand the importance of cross-scale interactions associated with parasitism. Such interactions may offer key insights into bigger picture questions such as when and how different regulatory factors are important, when disease can cause species extinctions, and what characteristics are indicative of functionally resilient ecosystems.","container-title":"Journal of Animal Ecology","DOI":"10.1111/j.1365-2656.2010.01742.x","ISSN":"1365-2656","issue":"1","journalAbbreviation":"J. Anim. Ecol.","language":"en","license":"© 2010 The Authors. Journal compilation © 2010 British Ecological Society","note":"_eprint: https://onlinelibrary.wiley.com/doi/pdf/10.1111/j.1365-2656.2010.01742.x","page":"19-38","source":"Wiley Online Library","title":"Wildlife diseases: from individuals to ecosystems","title-short":"Wildlife diseases","volume":"80","author":[{"family":"Tompkins","given":"Daniel M."},{"family":"Dunn","given":"Alison M."},{"family":"Smith","given":"Matthew J."},{"family":"Telfer","given":"Sandra"}],"issued":{"date-parts":[["2011"]]}}}],"schema":"https://github.com/citation-style-language/schema/raw/master/csl-citation.json"}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(Tompkins et al., 2011)</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A36BC4" w:rsidRPr="00883FC0">
        <w:rPr>
          <w:rFonts w:ascii="Arial" w:hAnsi="Arial" w:cs="Arial"/>
          <w:sz w:val="24"/>
          <w:szCs w:val="24"/>
          <w:lang w:val="en-GB"/>
        </w:rPr>
        <w:t>P</w:t>
      </w:r>
      <w:r w:rsidRPr="00883FC0">
        <w:rPr>
          <w:rFonts w:ascii="Arial" w:hAnsi="Arial" w:cs="Arial"/>
          <w:sz w:val="24"/>
          <w:szCs w:val="24"/>
          <w:lang w:val="en-GB"/>
        </w:rPr>
        <w:t xml:space="preserve">arasites of the </w:t>
      </w:r>
      <w:r w:rsidR="00283A67" w:rsidRPr="00883FC0">
        <w:rPr>
          <w:rFonts w:ascii="Arial" w:hAnsi="Arial" w:cs="Arial"/>
          <w:sz w:val="24"/>
          <w:szCs w:val="24"/>
          <w:lang w:val="en-GB"/>
        </w:rPr>
        <w:t xml:space="preserve">Nematoda phylum </w:t>
      </w:r>
      <w:r w:rsidRPr="00883FC0">
        <w:rPr>
          <w:rFonts w:ascii="Arial" w:hAnsi="Arial" w:cs="Arial"/>
          <w:sz w:val="24"/>
          <w:szCs w:val="24"/>
          <w:lang w:val="en-GB"/>
        </w:rPr>
        <w:t xml:space="preserve">infect a wide range of species worldwide, including animals and plants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{"citationID":"9tD9i5lp","properties":{"formattedCitation":"(Blaxter and Koutsovoulos, 2015)","plainCitation":"(Blaxter and Koutsovoulos, 2015)","noteIndex":0},"citationItems":[{"id":3886,"uris":["http://zotero.org/users/local/NciqjDvn/items/AHE74F8K"],"itemData":{"id":3886,"type":"article-journal","abstract":"Nematodes are abundant and diverse, and include many parasitic species. Molecular\n                    phylogenetic analyses have shown that parasitism of plants and animals has\n                    arisen at least 15 times independently. Extant nematode species also display\n                    lifestyles that are proposed to be on the evolutionary trajectory to parasitism.\n                    Recent advances have permitted the determination of the genomes and\n                    transcriptomes of many nematode species. These new data can be used to further\n                    resolve the phylogeny of Nematoda, and identify possible genetic patterns\n                    associated with parasitism. Plant-parasitic nematode genomes show evidence of\n                    horizontal gene transfer from other members of the rhizosphere, and these genes\n                    play important roles in the parasite-host interface. Similar horizontal transfer\n                    is not evident in animal parasitic groups. Many nematodes have bacterial\n                    symbionts that can be essential for survival. Horizontal transfer from symbionts\n                    to the nematode is also common, but its biological importance is unclear. Over\n                    100 nematode species are currently targeted for sequencing, and these data will\n                    yield important insights into the biology and evolutionary history of\n                    parasitism. It is important that these new technologies are also applied to\n                    free-living taxa, so that the pre-parasitic ground state can be inferred, and\n                    the novelties associated with parasitism isolated.","container-title":"Parasitology","DOI":"10.1017/S0031182014000791","ISSN":"0031-1820, 1469-8161","issue":"S1","language":"fr","note":"publisher: Cambridge University Press","page":"S26-S39","source":"Cambridge University Press","title":"The evolution of parasitism in Nematoda","volume":"142","author":[{"family":"Blaxter","given":"Mark"},{"family":"Koutsovoulos","given":"Georgios"}],"issued":{"date-parts":[["2015",2]]}}}],"schema":"https://github.com/citation-style-language/schema/raw/master/csl-citation.json"}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(Blaxter and Koutsovoulos, 2015)</w:t>
      </w:r>
      <w:r w:rsidRPr="00883FC0">
        <w:rPr>
          <w:rFonts w:ascii="Arial" w:hAnsi="Arial" w:cs="Arial"/>
          <w:sz w:val="24"/>
          <w:szCs w:val="24"/>
          <w:lang w:val="en-GB"/>
        </w:rPr>
        <w:fldChar w:fldCharType="end"/>
      </w:r>
      <w:r w:rsidRPr="00883FC0">
        <w:rPr>
          <w:rFonts w:ascii="Arial" w:hAnsi="Arial" w:cs="Arial"/>
          <w:sz w:val="24"/>
          <w:szCs w:val="24"/>
          <w:lang w:val="en-GB"/>
        </w:rPr>
        <w:t xml:space="preserve">. In animals, gastrointestinal nematode parasites are of major concern for </w:t>
      </w:r>
      <w:r w:rsidR="002A5340" w:rsidRPr="00883FC0">
        <w:rPr>
          <w:rFonts w:ascii="Arial" w:hAnsi="Arial" w:cs="Arial"/>
          <w:sz w:val="24"/>
          <w:szCs w:val="24"/>
          <w:lang w:val="en-GB"/>
        </w:rPr>
        <w:t>livestock productivity and security as they</w:t>
      </w:r>
      <w:r w:rsidR="003E3B1F" w:rsidRPr="00883FC0">
        <w:rPr>
          <w:rFonts w:ascii="Arial" w:hAnsi="Arial" w:cs="Arial"/>
          <w:sz w:val="24"/>
          <w:szCs w:val="24"/>
          <w:lang w:val="en-GB"/>
        </w:rPr>
        <w:t xml:space="preserve"> can impact </w:t>
      </w:r>
      <w:r w:rsidRPr="00883FC0">
        <w:rPr>
          <w:rFonts w:ascii="Arial" w:hAnsi="Arial" w:cs="Arial"/>
          <w:sz w:val="24"/>
          <w:szCs w:val="24"/>
          <w:lang w:val="en-GB"/>
        </w:rPr>
        <w:t>animal</w:t>
      </w:r>
      <w:r w:rsidR="003E3B1F" w:rsidRPr="00883FC0">
        <w:rPr>
          <w:rFonts w:ascii="Arial" w:hAnsi="Arial" w:cs="Arial"/>
          <w:sz w:val="24"/>
          <w:szCs w:val="24"/>
          <w:lang w:val="en-GB"/>
        </w:rPr>
        <w:t xml:space="preserve"> health </w:t>
      </w:r>
      <w:r w:rsidR="00A36BC4" w:rsidRPr="00883FC0">
        <w:rPr>
          <w:rFonts w:ascii="Arial" w:hAnsi="Arial" w:cs="Arial"/>
          <w:sz w:val="24"/>
          <w:szCs w:val="24"/>
          <w:lang w:val="en-GB"/>
        </w:rPr>
        <w:t>and</w:t>
      </w:r>
      <w:r w:rsidRPr="00883FC0">
        <w:rPr>
          <w:rFonts w:ascii="Arial" w:hAnsi="Arial" w:cs="Arial"/>
          <w:sz w:val="24"/>
          <w:szCs w:val="24"/>
          <w:lang w:val="en-GB"/>
        </w:rPr>
        <w:t xml:space="preserve"> reduce animal production</w:t>
      </w:r>
      <w:r w:rsidR="00647E14" w:rsidRPr="00883FC0">
        <w:rPr>
          <w:rFonts w:ascii="Arial" w:hAnsi="Arial" w:cs="Arial"/>
          <w:sz w:val="24"/>
          <w:szCs w:val="24"/>
          <w:lang w:val="en-GB"/>
        </w:rPr>
        <w:t>,</w:t>
      </w:r>
      <w:r w:rsidR="00A36BC4" w:rsidRPr="00883FC0">
        <w:rPr>
          <w:rFonts w:ascii="Arial" w:hAnsi="Arial" w:cs="Arial"/>
          <w:sz w:val="24"/>
          <w:szCs w:val="24"/>
          <w:lang w:val="en-GB"/>
        </w:rPr>
        <w:t xml:space="preserve"> with significant</w:t>
      </w:r>
      <w:r w:rsidRPr="00883FC0">
        <w:rPr>
          <w:rFonts w:ascii="Arial" w:hAnsi="Arial" w:cs="Arial"/>
          <w:sz w:val="24"/>
          <w:szCs w:val="24"/>
          <w:lang w:val="en-GB"/>
        </w:rPr>
        <w:t xml:space="preserve"> economic losses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{"citationID":"TNGhDc8x","properties":{"formattedCitation":"(Charlier et al., 2020; Roeber et al., 2013)","plainCitation":"(Charlier et al., 2020; Roeber et al., 2013)","noteIndex":0},"citationItems":[{"id":3491,"uris":["http://zotero.org/users/local/NciqjDvn/items/GTTK6VZN"],"itemData":{"id":3491,"type":"article-journal","abstract":"We report a European wide assessment of the economic burden of gastrointestinal nematodes, Fasciola hepatica (common liver fluke) and Dictyocaulus viviparus (bovine lungworm) infections to the ruminant livestock industry. The economic impact of these parasitic helminth infections was estimated by a deterministic spreadsheet model as a function of the proportion of the ruminant population exposed to grazing, the infection frequency and intensity, the effect of the infection on animal productivity and mortality and anthelmintic treatment costs. In addition, we estimated the costs of anthelmintic resistant nematode infections and collected information on public research budgets addressing helminth infections in ruminant livestock. The epidemiologic and economic input data were collected from international databases and via expert opinion of the Working Group members of the European Co-operation in Science and Technology (COST) action COMbatting Anthelmintic Resistance in ruminants (COMBAR). In order to reflect the effects of uncertainty in the input data, low and high cost estimates were obtained by varying uncertain input data arbitrarily in both directions by 20 %. The combined annual cost [low estimate-high estimate] of the three helminth infections in 18 participating countries was estimated at € 1.8 billion [€ 1.0–2.7 billion]. Eighty-one percent of this cost was due to lost production and 19 % was attributed to treatment costs. The cost of gastrointestinal nematode infections with resistance against macrocyclic lactones was estimated to be € 38 million [€ 11–87 million] annually. The annual estimated costs of helminth infections per sector were € 941 million [€ 488 – 1442 million] in dairy cattle, € 423 million [€ 205–663 million] in beef cattle, € 151million [€ 90–213 million] in dairy sheep, € 206 million [€ 132–248 million] in meat sheep and € 86 million [€ 67–107 million] in dairy goats. Important data gaps were present in all phases of the calculations which lead to large uncertainties around the estimates. Accessibility of more granular animal population datasets at EU level, deeper knowledge of the effects of infection on production, levels of infection and livestock grazing exposure across Europe would make the largest contribution to improved burden assessments. The known current public investment in research on helminth control was 0.15 % of the estimated annual costs for the considered parasitic diseases. Our data suggest that the costs of enzootic helminth infections which usually occur at high prevalence annually in ruminants, are similar or higher than reported costs of epizootic diseases. Our data can support decision making in research and policy to mitigate the negative impacts of helminth infections and anthelmintic resistance in Europe, and provide a baseline against which to measure future changes.","container-title":"Preventive Veterinary Medicine","DOI":"10.1016/j.prevetmed.2020.105103","ISSN":"0167-5877","journalAbbreviation":"Preventive Veterinary Medicine","language":"en","page":"105103","source":"ScienceDirect","title":"Initial assessment of the economic burden of major parasitic helminth infections to the ruminant livestock industry in Europe","volume":"182","author":[{"family":"Charlier","given":"J."},{"family":"Rinaldi","given":"L."},{"family":"Musella","given":"V."},{"family":"Ploeger","given":"H. W."},{"family":"Chartier","given":"C."},{"family":"Vineer","given":"H. Rose"},{"family":"Hinney","given":"B."},{"family":"Samson-Himmelstjerna","given":"G.","non-dropping-particle":"von"},{"family":"Băcescu","given":"B."},{"family":"Mickiewicz","given":"M."},{"family":"Mateus","given":"T. L."},{"family":"Martinez-Valladares","given":"M."},{"family":"Quealy","given":"S."},{"family":"Azaizeh","given":"H."},{"family":"Sekovska","given":"B."},{"family":"Akkari","given":"H."},{"family":"Petkevicius","given":"S."},{"family":"Hektoen","given":"L."},{"family":"Höglund","given":"J."},{"family":"Morgan","given":"E. R."},{"family":"Bartley","given":"D. J."},{"family":"Claerebout","given":"E."}],"issued":{"date-parts":[["2020",9,1]]}}},{"id":1161,"uris":["http://zotero.org/users/local/NciqjDvn/items/39TV2Y8S"],"itemData":{"id":1161,"type":"article-journal","abstract":"Parasitic nematodes (roundworms) of small ruminants and other livestock have major economic impacts worldwide. Despite the impact of the diseases caused by these nematodes and the discovery of new therapeutic agents (anthelmintics), there has been relatively limited progress in the development of practical molecular tools to study the epidemiology of these nematodes. Specific diagnosis underpins parasite control, and the detection and monitoring of anthelmintic resistance in livestock parasites, presently a major concern around the world. The purpose of the present article is to provide a concise account of the biology and knowledge of the epidemiology of the gastrointestinal nematodes (order Strongylida), from an Australian perspective, and to emphasize the importance of utilizing advanced molecular tools for the specific diagnosis of nematode infections for refined investigations of parasite epidemiology and drug resistance detection in combination with conventional methods. It also gives a perspective on the possibility of harnessing genetic, genomic and bioinformatic technologies to better understand parasites and control parasitic diseases.","container-title":"Parasites &amp; Vectors","DOI":"10.1186/1756-3305-6-153","ISSN":"1756-3305","issue":"1","journalAbbreviation":"Parasites Vectors","language":"en","page":"153","source":"Springer Link","title":"Impact of gastrointestinal parasitic nematodes of sheep, and the role of advanced molecular tools for exploring epidemiology and drug resistance - an Australian perspective","volume":"6","author":[{"family":"Roeber","given":"Florian"},{"family":"Jex","given":"Aaron R."},{"family":"Gasser","given":"Robin B."}],"issued":{"date-parts":[["2013",5,27]]}}}],"schema":"https://github.com/citation-style-language/schema/raw/master/csl-citation.json"}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(Charlier et al., 2020; Roeber et al., 2013)</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8150EF" w:rsidRPr="00883FC0">
        <w:rPr>
          <w:rFonts w:ascii="Arial" w:hAnsi="Arial" w:cs="Arial"/>
          <w:sz w:val="24"/>
          <w:szCs w:val="24"/>
          <w:lang w:val="en-US"/>
        </w:rPr>
        <w:t>Ungulates are usually infected by free-living larvae of gastrointestinal nematodes when they graze pasture. Infecti</w:t>
      </w:r>
      <w:r w:rsidR="00647E14" w:rsidRPr="00883FC0">
        <w:rPr>
          <w:rFonts w:ascii="Arial" w:hAnsi="Arial" w:cs="Arial"/>
          <w:sz w:val="24"/>
          <w:szCs w:val="24"/>
          <w:lang w:val="en-US"/>
        </w:rPr>
        <w:t>ve</w:t>
      </w:r>
      <w:r w:rsidR="008150EF" w:rsidRPr="00883FC0">
        <w:rPr>
          <w:rFonts w:ascii="Arial" w:hAnsi="Arial" w:cs="Arial"/>
          <w:sz w:val="24"/>
          <w:szCs w:val="24"/>
          <w:lang w:val="en-US"/>
        </w:rPr>
        <w:t xml:space="preserve"> larvae may survive several months in the environment depending on species and climatic conditions </w:t>
      </w:r>
      <w:r w:rsidR="008150EF" w:rsidRPr="00883FC0">
        <w:rPr>
          <w:rFonts w:ascii="Arial" w:hAnsi="Arial" w:cs="Arial"/>
          <w:sz w:val="24"/>
          <w:szCs w:val="24"/>
          <w:lang w:val="en-US"/>
        </w:rPr>
        <w:fldChar w:fldCharType="begin"/>
      </w:r>
      <w:r w:rsidR="008150EF" w:rsidRPr="00883FC0">
        <w:rPr>
          <w:rFonts w:ascii="Arial" w:hAnsi="Arial" w:cs="Arial"/>
          <w:sz w:val="24"/>
          <w:szCs w:val="24"/>
          <w:lang w:val="en-US"/>
        </w:rPr>
        <w:instrText xml:space="preserve"> ADDIN ZOTERO_ITEM CSL_CITATION {"citationID":"xyeuvUTu","properties":{"formattedCitation":"(O\\uc0\\u8217{}Connor et al., 2006)","plainCitation":"(O’Connor et al., 2006)","noteIndex":0},"citationItems":[{"id":1341,"uris":["http://zotero.org/users/local/NciqjDvn/items/3RJNMR4E"],"itemData":{"id":1341,"type":"article-journal","abstract":"Significant developments over recent decades make it timely to review the ecology of the major gastrointestinal nematode (GIN) species of sheep. These include the relentless development and spread of anthelmintic resistance in all of the major sheep production regions of the world, and the consequent drive towards integrated parasite management (IPM) systems incorporating non-chemotherapeutic strategies such as grazing management. The success of such programs is dependent on a detailed understanding of the environmental influences on the free-living stages of the nematode lifecycle. Major reviews of the subject were conducted prior to 1980, however considerable work has been completed since, including the development of mathematical models describing the epidemiology of GIN infection. Knowledge of the temperature thresholds for free-living development has also improved, while investigations of moisture influences and interactions with temperature have allowed more effective exploitation of environmental effects for IPM. This review re-evaluates our understanding of the factors that determine the success or failure of the free-living phases of the lifecycle in light of these developments. Temperature and moisture are the dominant influences on the free-living stages of Haemonchus contortus, Teladorsagia circumcincta and Trichostrongylus colubriformis, with the effects of pasture conditions playing a significant modulating role. Early in the free-living phase, the developmental success of the three GIN species is limited by susceptibility to cold temperatures. In general, H. contortus is most susceptible, followed by T. colubriformis and then T. circumcincta. The length of the development cycle is dependent largely on temperature, with development rate increasing at warmer temperatures. However, in order for development to proceed to the infective larval stage, addition of moisture is generally required. There has been considerably less work quantifying the effects of moisture on free-living development, although it is clear that H. contortus is most susceptible to desiccation during the pre-infective stages. Once the infective stage is reached, the influences of temperature and moisture on survival are less important, resulting in considerable survival times under conditions lethal to pre-infective stages. However, hot, dry conditions can be lethal for infective larvae of all three species, while extreme cold is also lethal with significant species variation. While the existing body of knowledge is substantial, the interpretation of many studies and comparison between them is complicated by inadequate description of, or variation in, the environmental measurements used. Confounding the effects of environmental variables on development to infective stage is the migration of larvae from the faeces and subsequent survival on pasture. There is a need to build on recent efforts to explore interaction between the effects of temperature and moisture, and also the trend to more closely simulate field conditions in laboratory studies. We propose a logical framework for future ecological investigations to overcome some of these problems, facilitate the development of a more integrated dataset on the subject and improve prediction of free-living development.","container-title":"Veterinary Parasitology","DOI":"10.1016/j.vetpar.2006.08.035","ISSN":"0304-4017","issue":"1","journalAbbreviation":"Vet. Parasitol","language":"en","page":"1-15","source":"ScienceDirect","title":"Ecology of the free-living stages of major trichostrongylid parasites of sheep","volume":"142","author":[{"family":"O’Connor","given":"Lauren J."},{"family":"Walkden-Brown","given":"Stephen W."},{"family":"Kahn","given":"Lewis P."}],"issued":{"date-parts":[["2006",11,30]]}}}],"schema":"https://github.com/citation-style-language/schema/raw/master/csl-citation.json"} </w:instrText>
      </w:r>
      <w:r w:rsidR="008150EF" w:rsidRPr="00883FC0">
        <w:rPr>
          <w:rFonts w:ascii="Arial" w:hAnsi="Arial" w:cs="Arial"/>
          <w:sz w:val="24"/>
          <w:szCs w:val="24"/>
          <w:lang w:val="en-US"/>
        </w:rPr>
        <w:fldChar w:fldCharType="separate"/>
      </w:r>
      <w:r w:rsidR="008150EF" w:rsidRPr="00883FC0">
        <w:rPr>
          <w:rFonts w:ascii="Arial" w:hAnsi="Arial" w:cs="Arial"/>
          <w:sz w:val="24"/>
          <w:szCs w:val="24"/>
          <w:lang w:val="en-US"/>
        </w:rPr>
        <w:t>(O’Connor et al., 2006)</w:t>
      </w:r>
      <w:r w:rsidR="008150EF" w:rsidRPr="00883FC0">
        <w:rPr>
          <w:rFonts w:ascii="Arial" w:hAnsi="Arial" w:cs="Arial"/>
          <w:sz w:val="24"/>
          <w:szCs w:val="24"/>
          <w:lang w:val="en-US"/>
        </w:rPr>
        <w:fldChar w:fldCharType="end"/>
      </w:r>
      <w:r w:rsidR="008150EF" w:rsidRPr="00883FC0">
        <w:rPr>
          <w:rFonts w:ascii="Arial" w:hAnsi="Arial" w:cs="Arial"/>
          <w:sz w:val="24"/>
          <w:szCs w:val="24"/>
          <w:lang w:val="en-US"/>
        </w:rPr>
        <w:t xml:space="preserve">. Following ingestion, larvae </w:t>
      </w:r>
      <w:r w:rsidR="002237AC" w:rsidRPr="002237AC">
        <w:rPr>
          <w:rFonts w:ascii="Arial" w:hAnsi="Arial" w:cs="Arial"/>
          <w:sz w:val="24"/>
          <w:szCs w:val="24"/>
          <w:highlight w:val="yellow"/>
          <w:lang w:val="en-US"/>
        </w:rPr>
        <w:t>complete</w:t>
      </w:r>
      <w:r w:rsidR="008150EF" w:rsidRPr="00883FC0">
        <w:rPr>
          <w:rFonts w:ascii="Arial" w:hAnsi="Arial" w:cs="Arial"/>
          <w:sz w:val="24"/>
          <w:szCs w:val="24"/>
          <w:lang w:val="en-US"/>
        </w:rPr>
        <w:t xml:space="preserve"> their development to reach the adult stage in the digestive tract. Egg-laying occurs 2─4 weeks post</w:t>
      </w:r>
      <w:r w:rsidR="002237AC" w:rsidRPr="002237AC">
        <w:rPr>
          <w:rFonts w:ascii="Arial" w:hAnsi="Arial" w:cs="Arial"/>
          <w:sz w:val="24"/>
          <w:szCs w:val="24"/>
          <w:highlight w:val="yellow"/>
          <w:lang w:val="en-US"/>
        </w:rPr>
        <w:t>-</w:t>
      </w:r>
      <w:r w:rsidR="008150EF" w:rsidRPr="00883FC0">
        <w:rPr>
          <w:rFonts w:ascii="Arial" w:hAnsi="Arial" w:cs="Arial"/>
          <w:sz w:val="24"/>
          <w:szCs w:val="24"/>
          <w:lang w:val="en-US"/>
        </w:rPr>
        <w:t>infection. The duration of infection by nematodes var</w:t>
      </w:r>
      <w:r w:rsidR="00647E14" w:rsidRPr="00883FC0">
        <w:rPr>
          <w:rFonts w:ascii="Arial" w:hAnsi="Arial" w:cs="Arial"/>
          <w:sz w:val="24"/>
          <w:szCs w:val="24"/>
          <w:lang w:val="en-US"/>
        </w:rPr>
        <w:t>ies</w:t>
      </w:r>
      <w:r w:rsidR="008150EF" w:rsidRPr="00883FC0">
        <w:rPr>
          <w:rFonts w:ascii="Arial" w:hAnsi="Arial" w:cs="Arial"/>
          <w:sz w:val="24"/>
          <w:szCs w:val="24"/>
          <w:lang w:val="en-US"/>
        </w:rPr>
        <w:t xml:space="preserve"> depending on species but last</w:t>
      </w:r>
      <w:r w:rsidR="00647E14" w:rsidRPr="00883FC0">
        <w:rPr>
          <w:rFonts w:ascii="Arial" w:hAnsi="Arial" w:cs="Arial"/>
          <w:sz w:val="24"/>
          <w:szCs w:val="24"/>
          <w:lang w:val="en-US"/>
        </w:rPr>
        <w:t>s</w:t>
      </w:r>
      <w:r w:rsidR="008150EF" w:rsidRPr="00883FC0">
        <w:rPr>
          <w:rFonts w:ascii="Arial" w:hAnsi="Arial" w:cs="Arial"/>
          <w:sz w:val="24"/>
          <w:szCs w:val="24"/>
          <w:lang w:val="en-US"/>
        </w:rPr>
        <w:t xml:space="preserve"> for at least 2 months from L3 ingestion </w:t>
      </w:r>
      <w:r w:rsidR="008150EF" w:rsidRPr="00883FC0">
        <w:rPr>
          <w:rFonts w:ascii="Arial" w:hAnsi="Arial" w:cs="Arial"/>
          <w:sz w:val="24"/>
          <w:szCs w:val="24"/>
          <w:lang w:val="en-US"/>
        </w:rPr>
        <w:fldChar w:fldCharType="begin"/>
      </w:r>
      <w:r w:rsidR="008150EF" w:rsidRPr="00883FC0">
        <w:rPr>
          <w:rFonts w:ascii="Arial" w:hAnsi="Arial" w:cs="Arial"/>
          <w:sz w:val="24"/>
          <w:szCs w:val="24"/>
          <w:lang w:val="en-US"/>
        </w:rPr>
        <w:instrText xml:space="preserve"> ADDIN ZOTERO_ITEM CSL_CITATION {"citationID":"AEIliTgr","properties":{"formattedCitation":"(Deplazes et al., 2016)","plainCitation":"(Deplazes et al., 2016)","noteIndex":0},"citationItems":[{"id":1577,"uris":["http://zotero.org/users/local/NciqjDvn/items/WFMHQ5A7"],"itemData":{"id":1577,"type":"book","abstract":"This textbook, now available in an updated English version, is not only intended for exam preparation but is also of relevance in veterinary practice. The book aims to allow easy and structured learning by providing a clear outline of the subject matter and practical chapter summaries. All relevant protozoa, helminths and arthropods that cause parasitic diseases or act as vectors of pathogens are...","language":"English","note":"publisher: Wageningen Academic Publishers","publisher":"Parasitology in veterinary medicine.","source":"www.cabdirect.org","title":"Parasitology in veterinary medicine.","URL":"https://www.cabdirect.org/cabdirect/abstract/20183101920","author":[{"family":"Deplazes","given":"P."},{"family":"Eckert","given":"J."},{"family":"Mathis","given":"A."},{"family":"Samson-Himmelstjerna","given":"G.","dropping-particle":"von"},{"family":"Zahner","given":"H."}],"accessed":{"date-parts":[["2020",11,18]]},"issued":{"date-parts":[["2016"]]}}}],"schema":"https://github.com/citation-style-language/schema/raw/master/csl-citation.json"} </w:instrText>
      </w:r>
      <w:r w:rsidR="008150EF" w:rsidRPr="00883FC0">
        <w:rPr>
          <w:rFonts w:ascii="Arial" w:hAnsi="Arial" w:cs="Arial"/>
          <w:sz w:val="24"/>
          <w:szCs w:val="24"/>
          <w:lang w:val="en-US"/>
        </w:rPr>
        <w:fldChar w:fldCharType="separate"/>
      </w:r>
      <w:r w:rsidR="008150EF" w:rsidRPr="00883FC0">
        <w:rPr>
          <w:rFonts w:ascii="Arial" w:hAnsi="Arial" w:cs="Arial"/>
          <w:sz w:val="24"/>
          <w:lang w:val="en-US"/>
        </w:rPr>
        <w:t>(Deplazes et al., 2016)</w:t>
      </w:r>
      <w:r w:rsidR="008150EF" w:rsidRPr="00883FC0">
        <w:rPr>
          <w:rFonts w:ascii="Arial" w:hAnsi="Arial" w:cs="Arial"/>
          <w:sz w:val="24"/>
          <w:szCs w:val="24"/>
          <w:lang w:val="en-US"/>
        </w:rPr>
        <w:fldChar w:fldCharType="end"/>
      </w:r>
      <w:r w:rsidR="008150EF" w:rsidRPr="00883FC0">
        <w:rPr>
          <w:rFonts w:ascii="Arial" w:hAnsi="Arial" w:cs="Arial"/>
          <w:sz w:val="24"/>
          <w:szCs w:val="24"/>
          <w:lang w:val="en-US"/>
        </w:rPr>
        <w:t>. The larvae can arrest their development in</w:t>
      </w:r>
      <w:r w:rsidR="00647E14" w:rsidRPr="00883FC0">
        <w:rPr>
          <w:rFonts w:ascii="Arial" w:hAnsi="Arial" w:cs="Arial"/>
          <w:sz w:val="24"/>
          <w:szCs w:val="24"/>
          <w:lang w:val="en-US"/>
        </w:rPr>
        <w:t xml:space="preserve"> the</w:t>
      </w:r>
      <w:r w:rsidR="008150EF" w:rsidRPr="00883FC0">
        <w:rPr>
          <w:rFonts w:ascii="Arial" w:hAnsi="Arial" w:cs="Arial"/>
          <w:sz w:val="24"/>
          <w:szCs w:val="24"/>
          <w:lang w:val="en-US"/>
        </w:rPr>
        <w:t xml:space="preserve"> host (hypobiosis) during harsh climatic condition</w:t>
      </w:r>
      <w:r w:rsidR="00647E14" w:rsidRPr="00883FC0">
        <w:rPr>
          <w:rFonts w:ascii="Arial" w:hAnsi="Arial" w:cs="Arial"/>
          <w:sz w:val="24"/>
          <w:szCs w:val="24"/>
          <w:lang w:val="en-US"/>
        </w:rPr>
        <w:t>s</w:t>
      </w:r>
      <w:r w:rsidR="008150EF" w:rsidRPr="00883FC0">
        <w:rPr>
          <w:rFonts w:ascii="Arial" w:hAnsi="Arial" w:cs="Arial"/>
          <w:sz w:val="24"/>
          <w:szCs w:val="24"/>
          <w:lang w:val="en-US"/>
        </w:rPr>
        <w:t xml:space="preserve">, delaying egg-laying </w:t>
      </w:r>
      <w:r w:rsidR="008150EF" w:rsidRPr="00883FC0">
        <w:rPr>
          <w:rFonts w:ascii="Arial" w:hAnsi="Arial" w:cs="Arial"/>
          <w:sz w:val="24"/>
          <w:szCs w:val="24"/>
          <w:lang w:val="en-US"/>
        </w:rPr>
        <w:fldChar w:fldCharType="begin"/>
      </w:r>
      <w:r w:rsidR="008150EF" w:rsidRPr="00883FC0">
        <w:rPr>
          <w:rFonts w:ascii="Arial" w:hAnsi="Arial" w:cs="Arial"/>
          <w:sz w:val="24"/>
          <w:szCs w:val="24"/>
          <w:lang w:val="en-US"/>
        </w:rPr>
        <w:instrText xml:space="preserve"> ADDIN ZOTERO_ITEM CSL_CITATION {"citationID":"tAOUugoU","properties":{"formattedCitation":"(Deplazes et al., 2016)","plainCitation":"(Deplazes et al., 2016)","noteIndex":0},"citationItems":[{"id":1577,"uris":["http://zotero.org/users/local/NciqjDvn/items/WFMHQ5A7"],"itemData":{"id":1577,"type":"book","abstract":"This textbook, now available in an updated English version, is not only intended for exam preparation but is also of relevance in veterinary practice. The book aims to allow easy and structured learning by providing a clear outline of the subject matter and practical chapter summaries. All relevant protozoa, helminths and arthropods that cause parasitic diseases or act as vectors of pathogens are...","language":"English","note":"publisher: Wageningen Academic Publishers","publisher":"Parasitology in veterinary medicine.","source":"www.cabdirect.org","title":"Parasitology in veterinary medicine.","URL":"https://www.cabdirect.org/cabdirect/abstract/20183101920","author":[{"family":"Deplazes","given":"P."},{"family":"Eckert","given":"J."},{"family":"Mathis","given":"A."},{"family":"Samson-Himmelstjerna","given":"G.","dropping-particle":"von"},{"family":"Zahner","given":"H."}],"accessed":{"date-parts":[["2020",11,18]]},"issued":{"date-parts":[["2016"]]}}}],"schema":"https://github.com/citation-style-language/schema/raw/master/csl-citation.json"} </w:instrText>
      </w:r>
      <w:r w:rsidR="008150EF" w:rsidRPr="00883FC0">
        <w:rPr>
          <w:rFonts w:ascii="Arial" w:hAnsi="Arial" w:cs="Arial"/>
          <w:sz w:val="24"/>
          <w:szCs w:val="24"/>
          <w:lang w:val="en-US"/>
        </w:rPr>
        <w:fldChar w:fldCharType="separate"/>
      </w:r>
      <w:r w:rsidR="008150EF" w:rsidRPr="00883FC0">
        <w:rPr>
          <w:rFonts w:ascii="Arial" w:hAnsi="Arial" w:cs="Arial"/>
          <w:sz w:val="24"/>
          <w:lang w:val="en-US"/>
        </w:rPr>
        <w:t>(Deplazes et al., 2016)</w:t>
      </w:r>
      <w:r w:rsidR="008150EF" w:rsidRPr="00883FC0">
        <w:rPr>
          <w:rFonts w:ascii="Arial" w:hAnsi="Arial" w:cs="Arial"/>
          <w:sz w:val="24"/>
          <w:szCs w:val="24"/>
          <w:lang w:val="en-US"/>
        </w:rPr>
        <w:fldChar w:fldCharType="end"/>
      </w:r>
      <w:r w:rsidR="008150EF" w:rsidRPr="00883FC0">
        <w:rPr>
          <w:rFonts w:ascii="Arial" w:hAnsi="Arial" w:cs="Arial"/>
          <w:sz w:val="24"/>
          <w:szCs w:val="24"/>
          <w:lang w:val="en-US"/>
        </w:rPr>
        <w:t>.</w:t>
      </w:r>
    </w:p>
    <w:p w14:paraId="6A080215" w14:textId="1FC46698" w:rsidR="00685709" w:rsidRPr="00883FC0" w:rsidRDefault="00685709"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 xml:space="preserve">To limit parasite load and </w:t>
      </w:r>
      <w:r w:rsidR="003E3B1F" w:rsidRPr="00883FC0">
        <w:rPr>
          <w:rFonts w:ascii="Arial" w:hAnsi="Arial" w:cs="Arial"/>
          <w:sz w:val="24"/>
          <w:szCs w:val="24"/>
          <w:lang w:val="en-GB"/>
        </w:rPr>
        <w:t>its impact on livestock health</w:t>
      </w:r>
      <w:r w:rsidRPr="00883FC0">
        <w:rPr>
          <w:rFonts w:ascii="Arial" w:hAnsi="Arial" w:cs="Arial"/>
          <w:sz w:val="24"/>
          <w:szCs w:val="24"/>
          <w:lang w:val="en-GB"/>
        </w:rPr>
        <w:t>, the use of anthelmintics to treat livestock against gastrointestinal nematodes is a common and cost</w:t>
      </w:r>
      <w:r w:rsidR="002237AC" w:rsidRPr="002237AC">
        <w:rPr>
          <w:rFonts w:ascii="Arial" w:hAnsi="Arial" w:cs="Arial"/>
          <w:sz w:val="24"/>
          <w:szCs w:val="24"/>
          <w:highlight w:val="yellow"/>
          <w:lang w:val="en-GB"/>
        </w:rPr>
        <w:t>-</w:t>
      </w:r>
      <w:r w:rsidRPr="00883FC0">
        <w:rPr>
          <w:rFonts w:ascii="Arial" w:hAnsi="Arial" w:cs="Arial"/>
          <w:sz w:val="24"/>
          <w:szCs w:val="24"/>
          <w:lang w:val="en-GB"/>
        </w:rPr>
        <w:t>effective</w:t>
      </w:r>
      <w:r w:rsidR="003E3B1F" w:rsidRPr="00883FC0">
        <w:rPr>
          <w:rFonts w:ascii="Arial" w:hAnsi="Arial" w:cs="Arial"/>
          <w:sz w:val="24"/>
          <w:szCs w:val="24"/>
          <w:lang w:val="en-GB"/>
        </w:rPr>
        <w:t xml:space="preserve"> practice</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{"citationID":"yI6mrKG9","properties":{"formattedCitation":"(Vercruysse et al., 2018)","plainCitation":"(Vercruysse et al., 2018)","noteIndex":0},"citationItems":[{"id":3540,"uris":["http://zotero.org/users/local/NciqjDvn/items/I3CHFPG4"],"itemData":{"id":3540,"type":"article-journal","abstract":"Helminth infections have large negative impacts on production efficiency in ruminant farming systems worldwide, and their effective management is essential if livestock production is to increase to meet future human needs for dietary protein. The control of helminths relies heavily on routine use of chemotherapeutics, but this approach is unsustainable as resistance to anthelmintic drugs is widespread and increasing. At the same time, infection patterns are being altered by changes in climate, land-use and farming practices. Future farms will need to adopt more efficient, robust and sustainable control methods, integrating ongoing scientific advances. Here, we present a vision of helminth control in farmed ruminants by 2030, bringing to bear progress in: (1) diagnostic tools, (2) innovative control approaches based on vaccines and selective breeding, (3) anthelmintics, by sustainable use of existing products and potentially new compounds, and (4) rational integration of future control practices. In this review, we identify the technical advances that we believe will place new tools in the hands of animal health decision makers in 2030, to enhance their options for control and allow them to achieve a more integrated and sustainable approach to helminth control in support of animal welfare and production.","container-title":"Parasitology","DOI":"10.1017/S003118201700227X","ISSN":"0031-1820, 1469-8161","issue":"13","language":"en","note":"publisher: Cambridge University Press","page":"1655-1664","source":"Cambridge University Press","title":"Control of helminth ruminant infections by 2030","volume":"145","author":[{"family":"Vercruysse","given":"Jozef"},{"family":"Charlier","given":"Johannes"},{"family":"Dijk","given":"Jan Van"},{"family":"Morgan","given":"Eric R."},{"family":"Geary","given":"Tim"},{"family":"Samson-Himmelstjerna","given":"Georg","dropping-particle":"von"},{"family":"Claerebout","given":"Edwin"}],"issued":{"date-parts":[["2018",11]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(Vercruysse et al., 2018)</w:t>
      </w:r>
      <w:r w:rsidRPr="00883FC0">
        <w:rPr>
          <w:rFonts w:ascii="Arial" w:hAnsi="Arial" w:cs="Arial"/>
          <w:sz w:val="24"/>
          <w:szCs w:val="24"/>
          <w:lang w:val="en-GB"/>
        </w:rPr>
        <w:fldChar w:fldCharType="end"/>
      </w:r>
      <w:r w:rsidRPr="00883FC0">
        <w:rPr>
          <w:rFonts w:ascii="Arial" w:hAnsi="Arial" w:cs="Arial"/>
          <w:sz w:val="24"/>
          <w:szCs w:val="24"/>
          <w:lang w:val="en-GB"/>
        </w:rPr>
        <w:t>. Nonetheless, the repeated use of anthelmintics has</w:t>
      </w:r>
      <w:r w:rsidR="003E3B1F" w:rsidRPr="00883FC0">
        <w:rPr>
          <w:rFonts w:ascii="Arial" w:hAnsi="Arial" w:cs="Arial"/>
          <w:sz w:val="24"/>
          <w:szCs w:val="24"/>
          <w:lang w:val="en-GB"/>
        </w:rPr>
        <w:t xml:space="preserve"> led to the selection of anthelmintic-resistant strains of gastrointestinal nematodes</w:t>
      </w:r>
      <w:r w:rsidRPr="00883FC0">
        <w:rPr>
          <w:rFonts w:ascii="Arial" w:hAnsi="Arial" w:cs="Arial"/>
          <w:sz w:val="24"/>
          <w:szCs w:val="24"/>
          <w:lang w:val="en-GB"/>
        </w:rPr>
        <w:t>.</w:t>
      </w:r>
      <w:r w:rsidR="00A36BC4" w:rsidRPr="00883FC0">
        <w:rPr>
          <w:rFonts w:ascii="Arial" w:hAnsi="Arial" w:cs="Arial"/>
          <w:sz w:val="24"/>
          <w:szCs w:val="24"/>
          <w:lang w:val="en-GB"/>
        </w:rPr>
        <w:t xml:space="preserve"> R</w:t>
      </w:r>
      <w:r w:rsidRPr="00883FC0">
        <w:rPr>
          <w:rFonts w:ascii="Arial" w:hAnsi="Arial" w:cs="Arial"/>
          <w:sz w:val="24"/>
          <w:szCs w:val="24"/>
          <w:lang w:val="en-GB"/>
        </w:rPr>
        <w:t>esistance to several</w:t>
      </w:r>
      <w:r w:rsidR="003E3B1F" w:rsidRPr="00883FC0">
        <w:rPr>
          <w:rFonts w:ascii="Arial" w:hAnsi="Arial" w:cs="Arial"/>
          <w:sz w:val="24"/>
          <w:szCs w:val="24"/>
          <w:lang w:val="en-GB"/>
        </w:rPr>
        <w:t xml:space="preserve"> families of</w:t>
      </w:r>
      <w:r w:rsidRPr="00883FC0">
        <w:rPr>
          <w:rFonts w:ascii="Arial" w:hAnsi="Arial" w:cs="Arial"/>
          <w:sz w:val="24"/>
          <w:szCs w:val="24"/>
          <w:lang w:val="en-GB"/>
        </w:rPr>
        <w:t xml:space="preserve"> anthelmintic</w:t>
      </w:r>
      <w:r w:rsidR="003E3B1F" w:rsidRPr="00883FC0">
        <w:rPr>
          <w:rFonts w:ascii="Arial" w:hAnsi="Arial" w:cs="Arial"/>
          <w:sz w:val="24"/>
          <w:szCs w:val="24"/>
          <w:lang w:val="en-GB"/>
        </w:rPr>
        <w:t>s</w:t>
      </w:r>
      <w:r w:rsidRPr="00883FC0">
        <w:rPr>
          <w:rFonts w:ascii="Arial" w:hAnsi="Arial" w:cs="Arial"/>
          <w:sz w:val="24"/>
          <w:szCs w:val="24"/>
          <w:lang w:val="en-GB"/>
        </w:rPr>
        <w:t xml:space="preserve"> (e.g., benzimidazole, macrocyclic lactones</w:t>
      </w:r>
      <w:r w:rsidR="002237AC" w:rsidRPr="002237AC">
        <w:rPr>
          <w:rFonts w:ascii="Arial" w:hAnsi="Arial" w:cs="Arial"/>
          <w:sz w:val="24"/>
          <w:szCs w:val="24"/>
          <w:highlight w:val="yellow"/>
          <w:lang w:val="en-GB"/>
        </w:rPr>
        <w:t>,</w:t>
      </w:r>
      <w:r w:rsidRPr="00883FC0">
        <w:rPr>
          <w:rFonts w:ascii="Arial" w:hAnsi="Arial" w:cs="Arial"/>
          <w:sz w:val="24"/>
          <w:szCs w:val="24"/>
          <w:lang w:val="en-GB"/>
        </w:rPr>
        <w:t xml:space="preserve"> and levamisole) ha</w:t>
      </w:r>
      <w:r w:rsidR="003E3B1F" w:rsidRPr="00883FC0">
        <w:rPr>
          <w:rFonts w:ascii="Arial" w:hAnsi="Arial" w:cs="Arial"/>
          <w:sz w:val="24"/>
          <w:szCs w:val="24"/>
          <w:lang w:val="en-GB"/>
        </w:rPr>
        <w:t>s</w:t>
      </w:r>
      <w:r w:rsidRPr="00883FC0">
        <w:rPr>
          <w:rFonts w:ascii="Arial" w:hAnsi="Arial" w:cs="Arial"/>
          <w:sz w:val="24"/>
          <w:szCs w:val="24"/>
          <w:lang w:val="en-GB"/>
        </w:rPr>
        <w:t xml:space="preserve"> been observed, and</w:t>
      </w:r>
      <w:r w:rsidR="003E3B1F" w:rsidRPr="00883FC0">
        <w:rPr>
          <w:rFonts w:ascii="Arial" w:hAnsi="Arial" w:cs="Arial"/>
          <w:sz w:val="24"/>
          <w:szCs w:val="24"/>
          <w:lang w:val="en-GB"/>
        </w:rPr>
        <w:t xml:space="preserve"> </w:t>
      </w:r>
      <w:r w:rsidR="00020FAA" w:rsidRPr="00883FC0">
        <w:rPr>
          <w:rFonts w:ascii="Arial" w:hAnsi="Arial" w:cs="Arial"/>
          <w:sz w:val="24"/>
          <w:szCs w:val="24"/>
          <w:lang w:val="en-GB"/>
        </w:rPr>
        <w:t>multi</w:t>
      </w:r>
      <w:r w:rsidR="00647E14" w:rsidRPr="00883FC0">
        <w:rPr>
          <w:rFonts w:ascii="Arial" w:hAnsi="Arial" w:cs="Arial"/>
          <w:sz w:val="24"/>
          <w:szCs w:val="24"/>
          <w:lang w:val="en-GB"/>
        </w:rPr>
        <w:t>-</w:t>
      </w:r>
      <w:r w:rsidR="003E3B1F" w:rsidRPr="00883FC0">
        <w:rPr>
          <w:rFonts w:ascii="Arial" w:hAnsi="Arial" w:cs="Arial"/>
          <w:sz w:val="24"/>
          <w:szCs w:val="24"/>
          <w:lang w:val="en-GB"/>
        </w:rPr>
        <w:t>resistance is</w:t>
      </w:r>
      <w:r w:rsidRPr="00883FC0">
        <w:rPr>
          <w:rFonts w:ascii="Arial" w:hAnsi="Arial" w:cs="Arial"/>
          <w:sz w:val="24"/>
          <w:szCs w:val="24"/>
          <w:lang w:val="en-GB"/>
        </w:rPr>
        <w:t xml:space="preserve"> increasing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{"citationID":"a2bnebd8hj8","properties":{"formattedCitation":"(Bordes et al., 2020; Kaplan and Vidyashankar, 2012; Rose et al., 2015; Rose Vineer et al., 2020)","plainCitation":"(Bordes et al., 2020; Kaplan and Vidyashankar, 2012; Rose et al., 2015; Rose Vineer et al., 2020)","noteIndex":0},"citationItems":[{"id":4934,"uris":["http://zotero.org/users/local/NciqjDvn/items/X3V2QCHA"],"itemData":{"id":4934,"type":"article-journal","abstract":"Pour-on eprinomectin was recently registered for lactating small ruminants. Given the high prevalence of benzimidazole resistance in gastrointestinal nematodes in dairy goats, many farmers use eprinomectin exclusively to treat their animals. On a French dairy goat farm, a veterinary practitioner noted a poor response to two types of eprinomectin treatment (pour-on application and injectable formulation). Therefore, we evaluated the efficacy of both formulations of eprinomectin, as well as moxidectin and fenbendazole, using the fecal egg count reduction test (FECRT) according to the World Association for the Advancement of Veterinary Parasitology (WAAVP) guidelines. Nematode species were identified at days 0 and post-treatment days 14 after bulk larval cultures, by morphology and real-time PCR. Plasma concentrations of eprinomectin were analyzed by high-performance liquid chromatography (HPLC) at post-treatment days 2 and 5 in the eprinomectin-treated groups. Egg count reductions were poor in animals treated with topical (−16.7%; 95% CI:[−237; 59]) or subcutaneous (21.5%; 95% CI:[−126; 73]) eprinomectin, and with fenbendazole (−5.8%; 95% CI:[−205; 63]). Haemonchus contortus was the main species identified by morphology and by real-time PCR before and after treatment. The plasma concentrations of eprinomectin were determined in all eprinomectin-treated animals and were above 2 ng/ml at post-treatment day 2, indicating that the lack of effect was not due to low exposure of the worms to the drug. Interestingly, moxidectin remained effective in all infected animals. This is the first report of multiple resistance to eprinomectin and benzimidazole in H. contortus on a French dairy goat farm with moxidectin as a relevant alternative.","container-title":"Parasitology International","DOI":"10.1016/j.parint.2020.102063","ISSN":"1383-5769","journalAbbreviation":"Parasitology International","language":"en","page":"102063","source":"ScienceDirect","title":"First report of multiple resistance to eprinomectin and benzimidazole in &lt;i&gt; Haemonchus contortus&lt;/i&gt;  on a dairy goat farm in France","volume":"76","author":[{"family":"Bordes","given":"Léa"},{"family":"Dumont","given":"Nicolas"},{"family":"Lespine","given":"Anne"},{"family":"Souil","given":"Elise"},{"family":"Sutra","given":"Jean-François"},{"family":"Prévot","given":"Françoise"},{"family":"Grisez","given":"Christelle"},{"family":"Romanos","given":"Lola"},{"family":"Dailledouze","given":"Aurélie"},{"family":"Jacquiet","given":"Philippe"}],"issued":{"date-parts":[["2020",6,1]]}}},{"id":3530,"uris":["http://zotero.org/users/local/NciqjDvn/items/SDVWCGWZ"],"itemData":{"id":3530,"type":"article-journal","abstract":"Over the past 10–15 years, we have witnessed a rapid increase in both the prevalence and magnitude of anthelmintic resistance, and this increase appears to be a worldwide phenomenon. Reports of anthelmintic resistance to multiple drugs in individual parasite species, and in multiple parasite species across virtually all livestock hosts, are increasingly common. In addition, since the introduction of ivermectin in 1981, no novel anthelmintic classes were developed and introduced for use in livestock until recently with the launch of monepantel in New Zealand. Thus, livestock producers are often left with few options for effective treatment against many important parasite species. While new anthelmintic classes with novel mechanisms of action could potentially solve this problem, new drugs are extremely expensive to develop, and can be expected to be more expensive than older drugs. Thus, it seems clear that the “Global Worming” approach that has taken hold over the past 40–50 years must change, and livestock producers must develop a new vision for parasite control and sustainability of production. Furthermore, parasitologists must improve methods for study design and data analysis that are used for diagnosing anthelmintic resistance, especially for the fecal egg count reduction test (FECRT). Currently, standards for diagnosis of anthelmintic resistance using FECRT exist only for sheep. Lack of standards in horses and cattle and arbitrarily defined cutoffs for defining resistance, combined with inadequate analysis of the data, mean that errors in assigning resistance status are common. Similarly, the lack of standards makes it difficult to compare data among different studies. This problem needs to be addressed, because as new drugs are introduced now and in the future, the lack of alternative treatments will make early and accurate diagnosis of anthelmintic resistance increasingly important.","collection-title":"Special issue: novel approaches to the control of helminth parasites of livestock","container-title":"Veterinary Parasitology","DOI":"10.1016/j.vetpar.2011.11.048","ISSN":"0304-4017","issue":"1","journalAbbreviation":"Veterinary Parasitology","language":"en","page":"70-78","source":"ScienceDirect","title":"An inconvenient truth: Global worming and anthelmintic resistance","title-short":"An inconvenient truth","volume":"186","author":[{"family":"Kaplan","given":"Ray M."},{"family":"Vidyashankar","given":"Anand N."}],"issued":{"date-parts":[["2012",5,4]]}}},{"id":958,"uris":["http://zotero.org/users/local/NciqjDvn/items/T4SFWCQE"],"itemData":{"id":958,"type":"article-journal","abstract":"Anthelmintic resistance (AR) in gastrointestinal nematodes (GINs) has been reported worldwide in multiple nematode and livestock species (Kaplan and Vidyashankar 2012) and is a major constraint on production on affected farms (Sutherland and others 2010, Miller and others 2012). In the UK and Ireland, for example, AR in GINs and anthelmintic treatment failure is widespread in sheep (e.g. Bartley and others 2003, Keane and others 2014) and increasingly reported in cattle (e.g. O'Shaughnessy and others 2014). There is, therefore, a need to develop and adopt GIN control strategies that maintain the efficacy of anthelmintics and to identify risk factors for the development of AR.\n\nEnvironmental constraints on farm management and the survival of nematodes in refugia appear to play an important role in the development of AR. In a random survey of sheep farms in Norway, AR was found only in coastal regions (Domke and others 2012a). Papadopoulos and others (2001) observed a higher incidence of AR on isolated Greek islands, suggesting that drought hastens the development of AR. In contrast, Rinaldi and others (2014) observed high anthelmintic efficacy in sheep in southern Italy despite the Mediterranean climate. This was attributed to the low number of anthelmintic treatments (usually two per year) and the absence of anthelmintic treatments during periods of drought, when environmental constraints on the free-living stages are highest. Calvete and others (2012) identified an association between AR, distance between farms with AR, management and bioclimatic …","container-title":"Veterinary Record","DOI":"10.1136/vr.102982","ISSN":"0042-4900, 2042-7670","issue":"21","language":"en","license":"British Veterinary Association","note":"publisher: British Medical Journal Publishing Group\nsection: Research\nPMID: 25762583","page":"546-546","source":"veterinaryrecord.bmj.com","title":"Widespread anthelmintic resistance in European farmed ruminants: a systematic review","title-short":"Widespread anthelmintic resistance in European farmed ruminants","volume":"176","author":[{"family":"Rose","given":"H."},{"family":"Rinaldi","given":"L."},{"family":"Bosco","given":"A."},{"family":"Mavrot","given":"F."},{"family":"Waal","given":"T.","dropping-particle":"de"},{"family":"Skuce","given":"P."},{"family":"Charlier","given":"J."},{"family":"Torgerson","given":"P. R."},{"family":"Hertzberg","given":"H."},{"family":"Hendrickx","given":"G."},{"family":"Vercruysse","given":"J."},{"family":"Morgan","given":"E. R."}],"issued":{"date-parts":[["2015",5,23]]}}},{"id":3631,"uris":["http://zotero.org/users/local/NciqjDvn/items/2EVWIP8N"],"itemData":{"id":3631,"type":"article-journal","abstract":"Helminth infections are ubiquitous in grazing ruminant production systems, and are responsible for significant costs and production losses. Anthelmintic Resistance (AR) in parasites is now widespread throughout Europe, although there are still gaps in our knowledge in some regions and countries. AR is a major threat to the sustainability of modern ruminant livestock production, resulting in reduced productivity, compromised animal health and welfare, and increased greenhouse gas emissions through increased parasitism and farm inputs. A better understanding of the extent of AR in Europe is needed to develop and advocate more sustainable parasite control approaches. A database of European published and unpublished AR research on gastrointestinal nematodes (GIN) and liver fluke (Fasciola hepatica) was collated by members of the European COST Action “COMBAR” (Combatting Anthelmintic Resistance in Ruminants), and combined with data from a previous systematic review of AR in GIN. A total of 197 publications on AR in GIN were available for analysis, representing 535 studies in 22 countries and spanning the period 1980–2020. Reports of AR were present throughout the European continent and some reports indicated high within-country prevalence. Heuristic sample size-weighted estimates of European AR prevalence over the whole study period, stratified by anthelmintic class, varied between 0 and 48%. Estimated regional (country) prevalence was highly heterogeneous, ranging between 0% and 100% depending on livestock sector and anthelmintic class, and generally increased with increasing research effort in a country. In the few countries with adequate longitudinal data, there was a tendency towards increasing AR over time for all anthelmintic classes in GIN: aggregated results in sheep and goats since 2010 reveal an average prevalence of resistance to benzimidazoles (BZ) of 86%, macrocyclic lactones except moxidectin (ML) 52%, levamisole (LEV) 48%, and moxidectin (MOX) 21%. All major GIN genera survived treatment in various studies. In cattle, prevalence of AR varied between anthelmintic classes from 0–100% (BZ and ML), 0–17% (LEV) and 0–73% (MOX), and both Cooperia and Ostertagia survived treatment. Suspected AR in F. hepatica was reported in 21 studies spanning 6 countries. For GIN and particularly F. hepatica, there was a bias towards preferential sampling of individual farms with suspected AR, and research effort was biased towards Western Europe and particularly the United Kingdom. Ongoing capture of future results in the live database, efforts to avoid bias in farm recruitment, more accurate tests for AR, and stronger appreciation of the importance of AR among the agricultural industry and policy makers, will support more sophisticated analyses of factors contributing to AR and effective strategies to slow its spread.","container-title":"Parasite","DOI":"10.1051/parasite/2020062","ISSN":"1252-607X","journalAbbreviation":"Parasite","note":"PMID: 33277891\nPMCID: PMC7718593","page":"69","source":"PubMed Central","title":"Increasing importance of anthelmintic resistance in European livestock: creation and meta-analysis of an open database","title-short":"Increasing importance of anthelmintic resistance in European livestock","volume":"27","author":[{"family":"Rose Vineer","given":"Hannah"},{"family":"Morgan","given":"Eric R."},{"family":"Hertzberg","given":"Hubertus"},{"family":"Bartley","given":"David J."},{"family":"Bosco","given":"Antonio"},{"family":"Charlier","given":"Johannes"},{"family":"Chartier","given":"Christophe"},{"family":"Claerebout","given":"Edwin"},{"family":"Waal","given":"Theo","non-dropping-particle":"de"},{"family":"Hendrickx","given":"Guy"},{"family":"Hinney","given":"Barbara"},{"family":"Höglund","given":"Johan"},{"family":"Ježek","given":"Jožica"},{"family":"Kašný","given":"Martin"},{"family":"Keane","given":"Orla M."},{"family":"Martínez-Valladares","given":"María"},{"family":"Mateus","given":"Teresa Letra"},{"family":"McIntyre","given":"Jennifer"},{"family":"Mickiewicz","given":"Marcin"},{"family":"Munoz","given":"Ana Maria"},{"family":"Phythian","given":"Clare Joan"},{"family":"Ploeger","given":"Harm W."},{"family":"Rataj","given":"Aleksandra Vergles"},{"family":"Skuce","given":"Philip J."},{"family":"Simin","given":"Stanislav"},{"family":"Sotiraki","given":"Smaragda"},{"family":"Spinu","given":"Marina"},{"family":"Stuen","given":"Snorre"},{"family":"Thamsborg","given":"Stig Milan"},{"family":"Vadlejch","given":"Jaroslav"},{"family":"Varady","given":"Marian"},{"family":"Samson-Himmelstjerna","given":"Georg","non-dropping-particle":"von"},{"family":"Rinaldi","given":"Laura"}],"issued":{"date-parts":[["2020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(Bordes et al., 2020; Kaplan and Vidyashankar, 2012; Rose et al., 2015; Rose Vineer et al., 2020)</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p>
    <w:p w14:paraId="5044E261" w14:textId="6C3C3C0E" w:rsidR="00685709" w:rsidRPr="00883FC0" w:rsidRDefault="00297CA8" w:rsidP="00A0712B">
      <w:pPr>
        <w:spacing w:after="0" w:line="360" w:lineRule="auto"/>
        <w:ind w:firstLine="360"/>
        <w:jc w:val="both"/>
        <w:rPr>
          <w:rFonts w:ascii="Arial" w:hAnsi="Arial" w:cs="Arial"/>
          <w:sz w:val="24"/>
          <w:szCs w:val="24"/>
          <w:lang w:val="en-GB"/>
        </w:rPr>
      </w:pPr>
      <w:bookmarkStart w:id="1" w:name="_Hlk156752918"/>
      <w:r w:rsidRPr="00883FC0">
        <w:rPr>
          <w:rFonts w:ascii="Arial" w:hAnsi="Arial" w:cs="Arial"/>
          <w:sz w:val="24"/>
          <w:szCs w:val="24"/>
          <w:lang w:val="en-GB"/>
        </w:rPr>
        <w:t>In particular, r</w:t>
      </w:r>
      <w:r w:rsidR="00685709" w:rsidRPr="00883FC0">
        <w:rPr>
          <w:rFonts w:ascii="Arial" w:hAnsi="Arial" w:cs="Arial"/>
          <w:sz w:val="24"/>
          <w:szCs w:val="24"/>
          <w:lang w:val="en-GB"/>
        </w:rPr>
        <w:t xml:space="preserve">esistance to benzimidazoles is widespread throughout the world </w:t>
      </w:r>
      <w:r w:rsidR="00685709" w:rsidRPr="00883FC0">
        <w:rPr>
          <w:rFonts w:ascii="Arial" w:hAnsi="Arial" w:cs="Arial"/>
          <w:sz w:val="24"/>
          <w:szCs w:val="24"/>
        </w:rPr>
        <w:fldChar w:fldCharType="begin"/>
      </w:r>
      <w:r w:rsidR="00991FDE" w:rsidRPr="00883FC0">
        <w:rPr>
          <w:rFonts w:ascii="Arial" w:hAnsi="Arial" w:cs="Arial"/>
          <w:sz w:val="24"/>
          <w:szCs w:val="24"/>
          <w:lang w:val="en-US"/>
        </w:rPr>
        <w:instrText xml:space="preserve"> ADDIN ZOTERO_ITEM CSL_CITATION {"citationID":"Fd5AoqfT","properties":{"formattedCitation":"(Kaplan and Vidyashankar, 2012)","plainCitation":"(Kaplan and Vidyashankar, 2012)","noteIndex":0},"citationItems":[{"id":3530,"uris":["http://zotero.org/users/local/NciqjDvn/items/SDVWCGWZ"],"itemData":{"id":3530,"type":"article-journal","abstract":"Over the past 10–15 years, we have witnessed a rapid increase in both the prevalence and magnitude of anthelmintic resistance, and this increase appears to be a worldwide phenomenon. Reports of anthelmintic resistance to multiple drugs in individual parasite species, and in multiple parasite species across virtually all livestock hosts, are increasingly common. In addition, since the introduction of ivermectin in 1981, no novel anthelmintic classes were developed and introduced for use in livestock until recently with the launch of monepantel in New Zealand. Thus, livestock producers are often left with few options for effective treatment against many important parasite species. While new anthelmintic classes with novel mechanisms of action could potentially solve this problem, new drugs are extremely expensive to develop, and can be expected to be more expensive than older drugs. Thus, it seems clear that the “Global Worming” approach that has taken hold over the past 40–50 years must change, and livestock producers must develop a new vision for parasite control and sustainability of production. Furthermore, parasitologists must improve methods for study design and data analysis that are used for diagnosing anthelmintic resistance, especially for the fecal egg count reduction test (FECRT). Currently, standards for diagnosis of anthelmintic resistance using FECRT exist only for sheep. Lack of standards in horses and cattle and arbitrarily defined cutoffs for defining resistance, combined with inadequate analysis of the data, mean that errors in assigning resistance status are common. Similarly, the lack of standards makes it difficult to compare data among different studies. This problem needs to be addressed, because as new drugs are introduced now and in the future, the lack of alternative treatments will make early and accurate diagnosis of anthelmintic resistance increasingly important.","collection-title":"Special issue: novel approaches to the control of helminth parasites of livestock","container-title":"Veterinary Parasitology","DOI":"10.1016/j.vetpar.2011.11.048","ISSN":"0304-4017","issue":"1","journalAbbreviation":"Veterinary Parasitology","language":"en","page":"70-78","source":"ScienceDirect","title":"An inconvenient truth: Global worming and anthelmintic resistance","title-short":"An inconvenient truth","volume":"186","author":[{"family":"Kaplan","given":"Ray M."},{"family":"Vidyashankar","given":"Anand N."}],"issued":{"date-parts":[["2012",5,4]]}}}],"schema":"https://github.com/citation-style-language/schema/raw/master/csl-citation.json"} </w:instrText>
      </w:r>
      <w:r w:rsidR="00685709" w:rsidRPr="00883FC0">
        <w:rPr>
          <w:rFonts w:ascii="Arial" w:hAnsi="Arial" w:cs="Arial"/>
          <w:sz w:val="24"/>
          <w:szCs w:val="24"/>
        </w:rPr>
        <w:fldChar w:fldCharType="separate"/>
      </w:r>
      <w:r w:rsidR="00991FDE" w:rsidRPr="00883FC0">
        <w:rPr>
          <w:rFonts w:ascii="Arial" w:hAnsi="Arial" w:cs="Arial"/>
          <w:sz w:val="24"/>
          <w:lang w:val="en-US"/>
        </w:rPr>
        <w:t>(Kaplan and Vidyashankar, 2012)</w:t>
      </w:r>
      <w:r w:rsidR="00685709" w:rsidRPr="00883FC0">
        <w:rPr>
          <w:rFonts w:ascii="Arial" w:hAnsi="Arial" w:cs="Arial"/>
          <w:sz w:val="24"/>
          <w:szCs w:val="24"/>
        </w:rPr>
        <w:fldChar w:fldCharType="end"/>
      </w:r>
      <w:r w:rsidR="00685709" w:rsidRPr="00883FC0">
        <w:rPr>
          <w:rFonts w:ascii="Arial" w:hAnsi="Arial" w:cs="Arial"/>
          <w:sz w:val="24"/>
          <w:szCs w:val="24"/>
          <w:lang w:val="en-GB"/>
        </w:rPr>
        <w:t xml:space="preserve">, and is particularly common </w:t>
      </w:r>
      <w:r w:rsidR="003E3B1F" w:rsidRPr="00883FC0">
        <w:rPr>
          <w:rFonts w:ascii="Arial" w:hAnsi="Arial" w:cs="Arial"/>
          <w:sz w:val="24"/>
          <w:szCs w:val="24"/>
          <w:lang w:val="en-GB"/>
        </w:rPr>
        <w:t>o</w:t>
      </w:r>
      <w:r w:rsidR="00685709" w:rsidRPr="00883FC0">
        <w:rPr>
          <w:rFonts w:ascii="Arial" w:hAnsi="Arial" w:cs="Arial"/>
          <w:sz w:val="24"/>
          <w:szCs w:val="24"/>
          <w:lang w:val="en-GB"/>
        </w:rPr>
        <w:t xml:space="preserve">n sheep farms in Europe </w:t>
      </w:r>
      <w:r w:rsidR="00685709"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{"citationID":"g0pmNczn","properties":{"formattedCitation":"(Papadopoulos et al., 2012; Rose Vineer et al., 2020)","plainCitation":"(Papadopoulos et al., 2012; Rose Vineer et al., 2020)","noteIndex":0},"citationItems":[{"id":2848,"uris":["http://zotero.org/users/local/NciqjDvn/items/ZR9H67M6"],"itemData":{"id":2848,"type":"article-journal","abstract":"Intensive use of anthelmintics to control gastrointestinal nematodes selects for anthelmintic resistance, which has become an important issue in many European countries. Presence of nematode strains resistant to benzimidazoles, imidazothiazoles and/or macrocyclic lactones has been repeatedly reported, particularly for the three most important genera, Haemonchus, Teladorsagia and Trichostrongylus. Additionally, multiple drug-resistant populations of these parasites have also been detected. Examples are given for the situation in European countries with differing climatic conditions and management systems of small ruminants. The widespread emergence of multi-resistant nematodes proves that the past intensive suppressive chemical control strategies may not be a successful approach any longer. Experience from the up to now development of anthelmintic resistance suggests that modern control schemes should not rely on sole use of anthelmintics, but employ other, more complex and sustainable recipes, combing chemical, environmental and immunological control.","collection-title":"Special issue: Update on Parasitic Diseases of Sheep","container-title":"Veterinary Parasitology","DOI":"10.1016/j.vetpar.2012.03.036","ISSN":"0304-4017","issue":"1","journalAbbreviation":"Veterinary Parasitology","language":"en","page":"85-88","source":"ScienceDirect","title":"Anthelmintic resistance in sheep in Europe: a selected review","title-short":"Anthelmintic resistance in sheep in Europe","volume":"189","author":[{"family":"Papadopoulos","given":"E."},{"family":"Gallidis","given":"E."},{"family":"Ptochos","given":"S."}],"issued":{"date-parts":[["2012",9,30]]}}},{"id":3631,"uris":["http://zotero.org/users/local/NciqjDvn/items/2EVWIP8N"],"itemData":{"id":3631,"type":"article-journal","abstract":"Helminth infections are ubiquitous in grazing ruminant production systems, and are responsible for significant costs and production losses. Anthelmintic Resistance (AR) in parasites is now widespread throughout Europe, although there are still gaps in our knowledge in some regions and countries. AR is a major threat to the sustainability of modern ruminant livestock production, resulting in reduced productivity, compromised animal health and welfare, and increased greenhouse gas emissions through increased parasitism and farm inputs. A better understanding of the extent of AR in Europe is needed to develop and advocate more sustainable parasite control approaches. A database of European published and unpublished AR research on gastrointestinal nematodes (GIN) and liver fluke (Fasciola hepatica) was collated by members of the European COST Action “COMBAR” (Combatting Anthelmintic Resistance in Ruminants), and combined with data from a previous systematic review of AR in GIN. A total of 197 publications on AR in GIN were available for analysis, representing 535 studies in 22 countries and spanning the period 1980–2020. Reports of AR were present throughout the European continent and some reports indicated high within-country prevalence. Heuristic sample size-weighted estimates of European AR prevalence over the whole study period, stratified by anthelmintic class, varied between 0 and 48%. Estimated regional (country) prevalence was highly heterogeneous, ranging between 0% and 100% depending on livestock sector and anthelmintic class, and generally increased with increasing research effort in a country. In the few countries with adequate longitudinal data, there was a tendency towards increasing AR over time for all anthelmintic classes in GIN: aggregated results in sheep and goats since 2010 reveal an average prevalence of resistance to benzimidazoles (BZ) of 86%, macrocyclic lactones except moxidectin (ML) 52%, levamisole (LEV) 48%, and moxidectin (MOX) 21%. All major GIN genera survived treatment in various studies. In cattle, prevalence of AR varied between anthelmintic classes from 0–100% (BZ and ML), 0–17% (LEV) and 0–73% (MOX), and both Cooperia and Ostertagia survived treatment. Suspected AR in F. hepatica was reported in 21 studies spanning 6 countries. For GIN and particularly F. hepatica, there was a bias towards preferential sampling of individual farms with suspected AR, and research effort was biased towards Western Europe and particularly the United Kingdom. Ongoing capture of future results in the live database, efforts to avoid bias in farm recruitment, more accurate tests for AR, and stronger appreciation of the importance of AR among the agricultural industry and policy makers, will support more sophisticated analyses of factors contributing to AR and effective strategies to slow its spread.","container-title":"Parasite","DOI":"10.1051/parasite/2020062","ISSN":"1252-607X","journalAbbreviation":"Parasite","note":"PMID: 33277891\nPMCID: PMC7718593","page":"69","source":"PubMed Central","title":"Increasing importance of anthelmintic resistance in European livestock: creation and meta-analysis of an open database","title-short":"Increasing importance of anthelmintic resistance in European livestock","volume":"27","author":[{"family":"Rose Vineer","given":"Hannah"},{"family":"Morgan","given":"Eric R."},{"family":"Hertzberg","given":"Hubertus"},{"family":"Bartley","given":"David J."},{"family":"Bosco","given":"Antonio"},{"family":"Charlier","given":"Johannes"},{"family":"Chartier","given":"Christophe"},{"family":"Claerebout","given":"Edwin"},{"family":"Waal","given":"Theo","non-dropping-particle":"de"},{"family":"Hendrickx","given":"Guy"},{"family":"Hinney","given":"Barbara"},{"family":"Höglund","given":"Johan"},{"family":"Ježek","given":"Jožica"},{"family":"Kašný","given":"Martin"},{"family":"Keane","given":"Orla M."},{"family":"Martínez-Valladares","given":"María"},{"family":"Mateus","given":"Teresa Letra"},{"family":"McIntyre","given":"Jennifer"},{"family":"Mickiewicz","given":"Marcin"},{"family":"Munoz","given":"Ana Maria"},{"family":"Phythian","given":"Clare Joan"},{"family":"Ploeger","given":"Harm W."},{"family":"Rataj","given":"Aleksandra Vergles"},{"family":"Skuce","given":"Philip J."},{"family":"Simin","given":"Stanislav"},{"family":"Sotiraki","given":"Smaragda"},{"family":"Spinu","given":"Marina"},{"family":"Stuen","given":"Snorre"},{"family":"Thamsborg","given":"Stig Milan"},{"family":"Vadlejch","given":"Jaroslav"},{"family":"Varady","given":"Marian"},{"family":"Samson-Himmelstjerna","given":"Georg","non-dropping-particle":"von"},{"family":"Rinaldi","given":"Laura"}],"issued":{"date-parts":[["2020"]]}}}],"schema":"https://github.com/citation-style-language/schema/raw/master/csl-citation.json"} </w:instrText>
      </w:r>
      <w:r w:rsidR="00685709" w:rsidRPr="00883FC0">
        <w:rPr>
          <w:rFonts w:ascii="Arial" w:hAnsi="Arial" w:cs="Arial"/>
          <w:sz w:val="24"/>
          <w:szCs w:val="24"/>
          <w:lang w:val="en-GB"/>
        </w:rPr>
        <w:fldChar w:fldCharType="separate"/>
      </w:r>
      <w:r w:rsidR="00991FDE" w:rsidRPr="00883FC0">
        <w:rPr>
          <w:rFonts w:ascii="Arial" w:hAnsi="Arial" w:cs="Arial"/>
          <w:sz w:val="24"/>
          <w:lang w:val="en-US"/>
        </w:rPr>
        <w:t>(Papadopoulos et al., 2012; Rose Vineer et al., 2020)</w:t>
      </w:r>
      <w:r w:rsidR="00685709" w:rsidRPr="00883FC0">
        <w:rPr>
          <w:rFonts w:ascii="Arial" w:hAnsi="Arial" w:cs="Arial"/>
          <w:sz w:val="24"/>
          <w:szCs w:val="24"/>
          <w:lang w:val="en-GB"/>
        </w:rPr>
        <w:fldChar w:fldCharType="end"/>
      </w:r>
      <w:r w:rsidR="00685709" w:rsidRPr="00883FC0">
        <w:rPr>
          <w:rFonts w:ascii="Arial" w:hAnsi="Arial" w:cs="Arial"/>
          <w:sz w:val="24"/>
          <w:szCs w:val="24"/>
          <w:lang w:val="en-GB"/>
        </w:rPr>
        <w:t>.</w:t>
      </w:r>
      <w:r w:rsidR="008C662A" w:rsidRPr="00883FC0">
        <w:rPr>
          <w:rFonts w:ascii="Arial" w:hAnsi="Arial" w:cs="Arial"/>
          <w:sz w:val="24"/>
          <w:szCs w:val="24"/>
          <w:lang w:val="en-GB"/>
        </w:rPr>
        <w:t xml:space="preserve"> </w:t>
      </w:r>
      <w:bookmarkStart w:id="2" w:name="_Hlk158740510"/>
      <w:bookmarkStart w:id="3" w:name="_Hlk158746711"/>
      <w:r w:rsidR="008C662A" w:rsidRPr="00883FC0">
        <w:rPr>
          <w:rFonts w:ascii="Arial" w:hAnsi="Arial" w:cs="Arial"/>
          <w:sz w:val="24"/>
          <w:szCs w:val="24"/>
          <w:lang w:val="en-GB"/>
        </w:rPr>
        <w:t>Contrary to other anthelmintic families,</w:t>
      </w:r>
      <w:bookmarkEnd w:id="2"/>
      <w:r w:rsidR="008C662A" w:rsidRPr="00883FC0">
        <w:rPr>
          <w:rFonts w:ascii="Arial" w:hAnsi="Arial" w:cs="Arial"/>
          <w:sz w:val="24"/>
          <w:szCs w:val="24"/>
          <w:lang w:val="en-GB"/>
        </w:rPr>
        <w:t xml:space="preserve"> t</w:t>
      </w:r>
      <w:r w:rsidR="00685709" w:rsidRPr="00883FC0">
        <w:rPr>
          <w:rFonts w:ascii="Arial" w:hAnsi="Arial" w:cs="Arial"/>
          <w:sz w:val="24"/>
          <w:szCs w:val="24"/>
          <w:lang w:val="en-GB"/>
        </w:rPr>
        <w:t>he mechanisms of resistance to benzimidazole</w:t>
      </w:r>
      <w:r w:rsidR="00647E14" w:rsidRPr="00883FC0">
        <w:rPr>
          <w:rFonts w:ascii="Arial" w:hAnsi="Arial" w:cs="Arial"/>
          <w:sz w:val="24"/>
          <w:szCs w:val="24"/>
          <w:lang w:val="en-GB"/>
        </w:rPr>
        <w:t>s</w:t>
      </w:r>
      <w:r w:rsidR="00685709" w:rsidRPr="00883FC0">
        <w:rPr>
          <w:rFonts w:ascii="Arial" w:hAnsi="Arial" w:cs="Arial"/>
          <w:sz w:val="24"/>
          <w:szCs w:val="24"/>
          <w:lang w:val="en-GB"/>
        </w:rPr>
        <w:t xml:space="preserve"> are well known and documented </w:t>
      </w:r>
      <w:r w:rsidR="00685709"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{"citationID":"V6A8wpqA","properties":{"formattedCitation":"(Whittaker et al., 2017)","plainCitation":"(Whittaker et al., 2017)","noteIndex":0},"citationItems":[{"id":2876,"uris":["http://zotero.org/users/local/NciqjDvn/items/KTWY89JW"],"itemData":{"id":2876,"type":"article-journal","abstract":"Veterinarians rely on a relatively limited spectrum of anthelmintic agents to control nematode parasites in domestic animals. Unfortunately, anthelmintic resistance has been an emerging problem in veterinary medicine. In particular, resistance has emerged among the strongyles, a group of gastrointestinal nematodes that infect a variety of hosts that range from large herbivores to small companion animals. Over the last several decades, a great deal of research effort has been directed toward developing an understanding of the mechanisms conferring resistance against the three major groups of anthelmintics: macrocyclic lactones, benzimidazoles, and nicotinic agonists. Our understanding of anthelmintic resistance has been largely formed by determining the mechanism of action for each drug class and then evaluating drug-resistant nematode isolates for mutations or differences in expression of target genes. More recently, drug efflux pumps have been recognized for their potential contribution to anthelmintic resistance. In this mini-review, we summarize the evidence for mechanisms of resistance in strongyle nematodes.","container-title":"Journal of Veterinary Pharmacology and Therapeutics","DOI":"10.1111/jvp.12330","ISSN":"1365-2885","issue":"2","language":"en","note":"_eprint: https://onlinelibrary.wiley.com/doi/pdf/10.1111/jvp.12330","page":"105-115","source":"Wiley Online Library","title":"Molecular mechanisms for anthelmintic resistance in strongyle nematode parasites of veterinary importance","volume":"40","author":[{"family":"Whittaker","given":"J. H."},{"family":"Carlson","given":"S. A."},{"family":"Jones","given":"D. E."},{"family":"Brewer","given":"M. T."}],"issued":{"date-parts":[["2017"]]}}}],"schema":"https://github.com/citation-style-language/schema/raw/master/csl-citation.json"} </w:instrText>
      </w:r>
      <w:r w:rsidR="00685709" w:rsidRPr="00883FC0">
        <w:rPr>
          <w:rFonts w:ascii="Arial" w:hAnsi="Arial" w:cs="Arial"/>
          <w:sz w:val="24"/>
          <w:szCs w:val="24"/>
          <w:lang w:val="en-GB"/>
        </w:rPr>
        <w:fldChar w:fldCharType="separate"/>
      </w:r>
      <w:r w:rsidR="00991FDE" w:rsidRPr="00883FC0">
        <w:rPr>
          <w:rFonts w:ascii="Arial" w:hAnsi="Arial" w:cs="Arial"/>
          <w:sz w:val="24"/>
          <w:lang w:val="en-US"/>
        </w:rPr>
        <w:t>(Whittaker et al., 2017)</w:t>
      </w:r>
      <w:r w:rsidR="00685709" w:rsidRPr="00883FC0">
        <w:rPr>
          <w:rFonts w:ascii="Arial" w:hAnsi="Arial" w:cs="Arial"/>
          <w:sz w:val="24"/>
          <w:szCs w:val="24"/>
          <w:lang w:val="en-GB"/>
        </w:rPr>
        <w:fldChar w:fldCharType="end"/>
      </w:r>
      <w:r w:rsidR="00647E14" w:rsidRPr="00883FC0">
        <w:rPr>
          <w:rFonts w:ascii="Arial" w:hAnsi="Arial" w:cs="Arial"/>
          <w:sz w:val="24"/>
          <w:szCs w:val="24"/>
          <w:lang w:val="en-GB"/>
        </w:rPr>
        <w:t>;</w:t>
      </w:r>
      <w:r w:rsidR="00685709" w:rsidRPr="00883FC0">
        <w:rPr>
          <w:rFonts w:ascii="Arial" w:hAnsi="Arial" w:cs="Arial"/>
          <w:sz w:val="24"/>
          <w:szCs w:val="24"/>
          <w:lang w:val="en-GB"/>
        </w:rPr>
        <w:t xml:space="preserve"> </w:t>
      </w:r>
      <w:bookmarkStart w:id="4" w:name="_Hlk156752928"/>
      <w:bookmarkEnd w:id="1"/>
      <w:r w:rsidR="00647E14" w:rsidRPr="00883FC0">
        <w:rPr>
          <w:rFonts w:ascii="Arial" w:hAnsi="Arial" w:cs="Arial"/>
          <w:sz w:val="24"/>
          <w:szCs w:val="24"/>
          <w:lang w:val="en-GB"/>
        </w:rPr>
        <w:t>i</w:t>
      </w:r>
      <w:r w:rsidR="00685709" w:rsidRPr="00883FC0">
        <w:rPr>
          <w:rFonts w:ascii="Arial" w:hAnsi="Arial" w:cs="Arial"/>
          <w:sz w:val="24"/>
          <w:szCs w:val="24"/>
          <w:lang w:val="en-GB"/>
        </w:rPr>
        <w:t>n resistant nematodes, specific mutations o</w:t>
      </w:r>
      <w:r w:rsidR="003E3B1F" w:rsidRPr="00883FC0">
        <w:rPr>
          <w:rFonts w:ascii="Arial" w:hAnsi="Arial" w:cs="Arial"/>
          <w:sz w:val="24"/>
          <w:szCs w:val="24"/>
          <w:lang w:val="en-GB"/>
        </w:rPr>
        <w:t>f</w:t>
      </w:r>
      <w:r w:rsidR="00685709" w:rsidRPr="00883FC0">
        <w:rPr>
          <w:rFonts w:ascii="Arial" w:hAnsi="Arial" w:cs="Arial"/>
          <w:sz w:val="24"/>
          <w:szCs w:val="24"/>
          <w:lang w:val="en-GB"/>
        </w:rPr>
        <w:t xml:space="preserve"> the β-tubulin isotype-1 gene have been correlated with resistance </w:t>
      </w:r>
      <w:r w:rsidR="00685709"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{"citationID":"uaHkavuY","properties":{"formattedCitation":"(Charlier et al., 2022)","plainCitation":"(Charlier et al., 2022)","noteIndex":0},"citationItems":[{"id":2510,"uris":["http://zotero.org/users/local/NciqjDvn/items/7D2YUGUR"],"itemData":{"id":2510,"type":"chapter","abstract":"Anthelmintic resistance (AR) is a growing concern for effective parasite control in farmed ruminants globally. Combatting AR will require intensified and integrated research efforts in the development of innovative diagnostic tests to detect helminth infections and AR, sustainable anthelmintic treatment strategies and the development of complementary control approaches such as vaccination and plant-based control. It will also require a better understanding of socio-economic drivers of anthelmintic treatment decisions, in order to support a behavioural shift and develop targeted communication strategies that promote the uptake of evidence-based sustainable solutions. Here, we review the state-of-the-art in these different fields of research activity related to AR in helminths of livestock ruminants in Europe and beyond. We conclude that in the advent of new challenges and solutions emerging from continuing spread of AR and intensified research efforts, respectively, there is a strong need for transnational multi-actor initiatives. These should involve all key stakeholders to develop indicators of infection and sustainable control, set targets and promote good practices to achieve them.","container-title":"Advances in Parasitology","language":"en","note":"DOI: 10.1016/bs.apar.2021.12.002","page":"171-227","publisher":"Academic Press","source":"ScienceDirect","title":"Chapter Three - Anthelmintic resistance in ruminants: challenges and solutions","title-short":"Chapter Three - Anthelmintic resistance in ruminants","URL":"https://www.sciencedirect.com/science/article/pii/S0065308X21000580","volume":"115","author":[{"family":"Charlier","given":"J."},{"family":"Bartley","given":"D. J."},{"family":"Sotiraki","given":"S."},{"family":"Martinez-Valladares","given":"M."},{"family":"Claerebout","given":"E."},{"family":"Samson-Himmelstjerna","given":"G.","non-dropping-particle":"von"},{"family":"Thamsborg","given":"S. M."},{"family":"Hoste","given":"H."},{"family":"Morgan","given":"E. R."},{"family":"Rinaldi","given":"L."}],"editor":[{"family":"Rollinson","given":"David"},{"family":"Stothard","given":"Russell"}],"accessed":{"date-parts":[["2022",5,11]]},"issued":{"date-parts":[["2022",1,1]]}}}],"schema":"https://github.com/citation-style-language/schema/raw/master/csl-citation.json"} </w:instrText>
      </w:r>
      <w:r w:rsidR="00685709" w:rsidRPr="00883FC0">
        <w:rPr>
          <w:rFonts w:ascii="Arial" w:hAnsi="Arial" w:cs="Arial"/>
          <w:sz w:val="24"/>
          <w:szCs w:val="24"/>
          <w:lang w:val="en-GB"/>
        </w:rPr>
        <w:fldChar w:fldCharType="separate"/>
      </w:r>
      <w:r w:rsidR="00991FDE" w:rsidRPr="00883FC0">
        <w:rPr>
          <w:rFonts w:ascii="Arial" w:hAnsi="Arial" w:cs="Arial"/>
          <w:sz w:val="24"/>
          <w:lang w:val="en-US"/>
        </w:rPr>
        <w:t>(Charlier et al., 2022)</w:t>
      </w:r>
      <w:r w:rsidR="00685709" w:rsidRPr="00883FC0">
        <w:rPr>
          <w:rFonts w:ascii="Arial" w:hAnsi="Arial" w:cs="Arial"/>
          <w:sz w:val="24"/>
          <w:szCs w:val="24"/>
          <w:lang w:val="en-GB"/>
        </w:rPr>
        <w:fldChar w:fldCharType="end"/>
      </w:r>
      <w:r w:rsidR="00685709" w:rsidRPr="00883FC0">
        <w:rPr>
          <w:rFonts w:ascii="Arial" w:hAnsi="Arial" w:cs="Arial"/>
          <w:sz w:val="24"/>
          <w:szCs w:val="24"/>
          <w:lang w:val="en-GB"/>
        </w:rPr>
        <w:t>.</w:t>
      </w:r>
      <w:bookmarkEnd w:id="4"/>
      <w:r w:rsidR="008C662A" w:rsidRPr="00883FC0">
        <w:rPr>
          <w:rFonts w:ascii="Arial" w:hAnsi="Arial" w:cs="Arial"/>
          <w:sz w:val="24"/>
          <w:szCs w:val="24"/>
          <w:lang w:val="en-GB"/>
        </w:rPr>
        <w:t xml:space="preserve"> </w:t>
      </w:r>
      <w:r w:rsidR="00500AE3" w:rsidRPr="00883FC0">
        <w:rPr>
          <w:rFonts w:ascii="Arial" w:hAnsi="Arial" w:cs="Arial"/>
          <w:sz w:val="24"/>
          <w:szCs w:val="24"/>
          <w:lang w:val="en-GB"/>
        </w:rPr>
        <w:t xml:space="preserve">Furthermore, large-scale screening based on molecular tools is now feasible for this resistance </w:t>
      </w:r>
      <w:r w:rsidR="00500AE3" w:rsidRPr="00883FC0">
        <w:rPr>
          <w:rFonts w:ascii="Arial" w:hAnsi="Arial" w:cs="Arial"/>
          <w:sz w:val="24"/>
          <w:szCs w:val="24"/>
          <w:lang w:val="en-GB"/>
        </w:rPr>
        <w:fldChar w:fldCharType="begin"/>
      </w:r>
      <w:r w:rsidR="00500AE3" w:rsidRPr="00883FC0">
        <w:rPr>
          <w:rFonts w:ascii="Arial" w:hAnsi="Arial" w:cs="Arial"/>
          <w:sz w:val="24"/>
          <w:szCs w:val="24"/>
          <w:lang w:val="en-GB"/>
        </w:rPr>
        <w:instrText xml:space="preserve"> ADDIN ZOTERO_ITEM CSL_CITATION {"citationID":"yZ6n9Csq","properties":{"formattedCitation":"(Avramenko et al., 2019)","plainCitation":"(Avramenko et al., 2019)","noteIndex":0},"citationItems":[{"id":578,"uris":["http://zotero.org/users/local/NciqjDvn/items/NXNZT3CS"],"itemData":{"id":578,"type":"article-journal","abstract":"Parasitic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00500AE3" w:rsidRPr="00883FC0">
        <w:rPr>
          <w:rFonts w:ascii="Arial" w:hAnsi="Arial" w:cs="Arial"/>
          <w:sz w:val="24"/>
          <w:szCs w:val="24"/>
          <w:lang w:val="en-GB"/>
        </w:rPr>
        <w:fldChar w:fldCharType="separate"/>
      </w:r>
      <w:r w:rsidR="00500AE3" w:rsidRPr="00883FC0">
        <w:rPr>
          <w:rFonts w:ascii="Arial" w:hAnsi="Arial" w:cs="Arial"/>
          <w:sz w:val="24"/>
          <w:lang w:val="en-US"/>
        </w:rPr>
        <w:t>(Avramenko et al., 2019)</w:t>
      </w:r>
      <w:r w:rsidR="00500AE3" w:rsidRPr="00883FC0">
        <w:rPr>
          <w:rFonts w:ascii="Arial" w:hAnsi="Arial" w:cs="Arial"/>
          <w:sz w:val="24"/>
          <w:szCs w:val="24"/>
          <w:lang w:val="en-GB"/>
        </w:rPr>
        <w:fldChar w:fldCharType="end"/>
      </w:r>
      <w:r w:rsidR="00500AE3" w:rsidRPr="00883FC0">
        <w:rPr>
          <w:rFonts w:ascii="Arial" w:hAnsi="Arial" w:cs="Arial"/>
          <w:sz w:val="24"/>
          <w:szCs w:val="24"/>
          <w:lang w:val="en-GB"/>
        </w:rPr>
        <w:t xml:space="preserve">, whereas the recommended method in </w:t>
      </w:r>
      <w:r w:rsidR="00500AE3" w:rsidRPr="00883FC0">
        <w:rPr>
          <w:rFonts w:ascii="Arial" w:hAnsi="Arial" w:cs="Arial"/>
          <w:sz w:val="24"/>
          <w:szCs w:val="24"/>
          <w:lang w:val="en-GB"/>
        </w:rPr>
        <w:lastRenderedPageBreak/>
        <w:t xml:space="preserve">livestock (i.e., the fecal egg count reduction test; </w:t>
      </w:r>
      <w:r w:rsidR="00500AE3" w:rsidRPr="00883FC0">
        <w:rPr>
          <w:rFonts w:ascii="Arial" w:hAnsi="Arial" w:cs="Arial"/>
          <w:sz w:val="24"/>
          <w:szCs w:val="24"/>
          <w:lang w:val="en-GB"/>
        </w:rPr>
        <w:fldChar w:fldCharType="begin"/>
      </w:r>
      <w:r w:rsidR="00F02A99" w:rsidRPr="00883FC0">
        <w:rPr>
          <w:rFonts w:ascii="Arial" w:hAnsi="Arial" w:cs="Arial"/>
          <w:sz w:val="24"/>
          <w:szCs w:val="24"/>
          <w:lang w:val="en-GB"/>
        </w:rPr>
        <w:instrText xml:space="preserve"> ADDIN ZOTERO_ITEM CSL_CITATION {"citationID":"V7yqXKIi","properties":{"formattedCitation":"(Kaplan et al., 2023)","plainCitation":"(Kaplan et al., 2023)","dontUpdate":true,"noteIndex":0},"citationItems":[{"id":5047,"uris":["http://zotero.org/users/local/NciqjDvn/items/PNXE6DF3"],"itemData":{"id":5047,"type":"article-journal","abstract":"The faecal egg count reduction test (FECRT) remains the method of choice for establishing the efficacy of anthelmintic compounds in the field, including the diagnosis of anthelmintic resistance. We present a guideline for improving the standardization and performance of the FECRT that has four sections. In the first section, we address the major issues relevant to experimental design, choice of faecal egg count (FEC) method, statistical analysis, and interpretation of the FECRT results. In the second section, we make a series of general recommendations that are applicable across all animals addressed in this guideline. In the third section, we provide separate guidance details for cattle, small ruminants (sheep and goats), horses and pigs to address the issues that are specific to the different animal types. Finally, we provide overviews of the specific details required to conduct an FECRT for each of the different host species. To address the issues of statistical power vs. practicality, we also provide two separate options for each animal species; (i) a version designed to detect small changes in efficacy that is intended for use in scientific studies, and (ii) a less resource-intensive version intended for routine use by veterinarians and livestock owners to detect larger changes in efficacy. Compared to the previous FECRT recommendations, four important differences are noted. First, it is now generally recommended to perform the FECRT based on pre- and post-treatment FEC of the same animals (paired study design), rather than on post-treatment FEC of both treated and untreated (control) animals (unpaired study design). Second, instead of requiring a minimum mean FEC (expressed in eggs per gram (EPG)) of the group to be tested, the new requirement is for a minimum total number of eggs to be counted under the microscope (cumulative number of eggs counted before the application of a conversion factor). Third, we provide flexibility in the required size of the treatment group by presenting three separate options that depend on the (expected) number of eggs counted. Finally, these guidelines address all major livestock species, and the thresholds for defining reduced efficacy are adapted and aligned to host species, anthelmintic drug and parasite species. In conclusion, these new guidelines provide improved methodology and standardization of the FECRT for all major livestock species.","container-title":"Veterinary Parasitology","DOI":"10.1016/j.vetpar.2023.109936","ISSN":"0304-4017","journalAbbreviation":"Veterinary Parasitology","page":"109936","source":"ScienceDirect","title":"World Association for the Advancement of Veterinary Parasitology (W.A.A.V.P.) guideline for diagnosing anthelmintic resistance using the faecal egg count reduction test in ruminants, horses and swine","volume":"318","author":[{"family":"Kaplan","given":"Ray M."},{"family":"Denwood","given":"Matthew J."},{"family":"Nielsen","given":"Martin K."},{"family":"Thamsborg","given":"Stig M."},{"family":"Torgerson","given":"Paul R."},{"family":"Gilleard","given":"John S."},{"family":"Dobson","given":"Robert J."},{"family":"Vercruysse","given":"Jozef"},{"family":"Levecke","given":"Bruno"}],"issued":{"date-parts":[["2023",6,1]]}}}],"schema":"https://github.com/citation-style-language/schema/raw/master/csl-citation.json"} </w:instrText>
      </w:r>
      <w:r w:rsidR="00500AE3" w:rsidRPr="00883FC0">
        <w:rPr>
          <w:rFonts w:ascii="Arial" w:hAnsi="Arial" w:cs="Arial"/>
          <w:sz w:val="24"/>
          <w:szCs w:val="24"/>
          <w:lang w:val="en-GB"/>
        </w:rPr>
        <w:fldChar w:fldCharType="separate"/>
      </w:r>
      <w:r w:rsidR="00500AE3" w:rsidRPr="00883FC0">
        <w:rPr>
          <w:rFonts w:ascii="Arial" w:hAnsi="Arial" w:cs="Arial"/>
          <w:sz w:val="24"/>
          <w:lang w:val="en-US"/>
        </w:rPr>
        <w:t>Kaplan et al., 2023</w:t>
      </w:r>
      <w:r w:rsidR="00500AE3" w:rsidRPr="00883FC0">
        <w:rPr>
          <w:rFonts w:ascii="Arial" w:hAnsi="Arial" w:cs="Arial"/>
          <w:sz w:val="24"/>
          <w:szCs w:val="24"/>
          <w:lang w:val="en-GB"/>
        </w:rPr>
        <w:fldChar w:fldCharType="end"/>
      </w:r>
      <w:r w:rsidR="00500AE3" w:rsidRPr="00883FC0">
        <w:rPr>
          <w:rFonts w:ascii="Arial" w:hAnsi="Arial" w:cs="Arial"/>
          <w:sz w:val="24"/>
          <w:szCs w:val="24"/>
          <w:lang w:val="en-GB"/>
        </w:rPr>
        <w:t xml:space="preserve">) for the diagnosis of resistance to other anthelmintics requires techniques that are difficult to achieve in wildlife </w:t>
      </w:r>
      <w:r w:rsidR="00556611" w:rsidRPr="002D0E01">
        <w:rPr>
          <w:rFonts w:ascii="Arial" w:hAnsi="Arial" w:cs="Arial"/>
          <w:sz w:val="24"/>
          <w:szCs w:val="24"/>
          <w:highlight w:val="yellow"/>
          <w:lang w:val="en-GB"/>
        </w:rPr>
        <w:t>l</w:t>
      </w:r>
      <w:r w:rsidR="002D0E01" w:rsidRPr="002D0E01">
        <w:rPr>
          <w:rFonts w:ascii="Arial" w:hAnsi="Arial" w:cs="Arial"/>
          <w:sz w:val="24"/>
          <w:szCs w:val="24"/>
          <w:highlight w:val="yellow"/>
          <w:lang w:val="en-GB"/>
        </w:rPr>
        <w:t>i</w:t>
      </w:r>
      <w:r w:rsidR="00556611" w:rsidRPr="002D0E01">
        <w:rPr>
          <w:rFonts w:ascii="Arial" w:hAnsi="Arial" w:cs="Arial"/>
          <w:sz w:val="24"/>
          <w:szCs w:val="24"/>
          <w:highlight w:val="yellow"/>
          <w:lang w:val="en-GB"/>
        </w:rPr>
        <w:t>ving</w:t>
      </w:r>
      <w:r w:rsidR="00556611" w:rsidRPr="00883FC0">
        <w:rPr>
          <w:rFonts w:ascii="Arial" w:hAnsi="Arial" w:cs="Arial"/>
          <w:sz w:val="24"/>
          <w:szCs w:val="24"/>
          <w:lang w:val="en-GB"/>
        </w:rPr>
        <w:t xml:space="preserve"> </w:t>
      </w:r>
      <w:r w:rsidR="00500AE3" w:rsidRPr="00883FC0">
        <w:rPr>
          <w:rFonts w:ascii="Arial" w:hAnsi="Arial" w:cs="Arial"/>
          <w:sz w:val="24"/>
          <w:szCs w:val="24"/>
          <w:lang w:val="en-GB"/>
        </w:rPr>
        <w:t xml:space="preserve">in remote </w:t>
      </w:r>
      <w:r w:rsidR="00647E14" w:rsidRPr="00883FC0">
        <w:rPr>
          <w:rFonts w:ascii="Arial" w:hAnsi="Arial" w:cs="Arial"/>
          <w:sz w:val="24"/>
          <w:szCs w:val="24"/>
          <w:lang w:val="en-GB"/>
        </w:rPr>
        <w:t>locations</w:t>
      </w:r>
      <w:r w:rsidR="008C662A" w:rsidRPr="00883FC0">
        <w:rPr>
          <w:rFonts w:ascii="Arial" w:eastAsia="Times New Roman" w:hAnsi="Arial" w:cs="Arial"/>
          <w:sz w:val="24"/>
          <w:szCs w:val="24"/>
          <w:lang w:val="en-US" w:eastAsia="fr-FR"/>
        </w:rPr>
        <w:t>.</w:t>
      </w:r>
      <w:bookmarkEnd w:id="3"/>
    </w:p>
    <w:p w14:paraId="7DAD7BA6" w14:textId="6B23FAD1" w:rsidR="00685709" w:rsidRPr="00883FC0" w:rsidRDefault="00685709"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Some g</w:t>
      </w:r>
      <w:r w:rsidR="003E3B1F" w:rsidRPr="00883FC0">
        <w:rPr>
          <w:rFonts w:ascii="Arial" w:hAnsi="Arial" w:cs="Arial"/>
          <w:sz w:val="24"/>
          <w:szCs w:val="24"/>
          <w:lang w:val="en-GB"/>
        </w:rPr>
        <w:t>eneralist g</w:t>
      </w:r>
      <w:r w:rsidRPr="00883FC0">
        <w:rPr>
          <w:rFonts w:ascii="Arial" w:hAnsi="Arial" w:cs="Arial"/>
          <w:sz w:val="24"/>
          <w:szCs w:val="24"/>
          <w:lang w:val="en-GB"/>
        </w:rPr>
        <w:t>astrointestinal nematodes can infect several host species (</w:t>
      </w:r>
      <w:r w:rsidRPr="00883FC0">
        <w:rPr>
          <w:rFonts w:ascii="Arial" w:hAnsi="Arial" w:cs="Arial"/>
          <w:sz w:val="24"/>
          <w:szCs w:val="24"/>
          <w:lang w:val="en-GB"/>
        </w:rPr>
        <w:fldChar w:fldCharType="begin"/>
      </w:r>
      <w:r w:rsidRPr="00883FC0">
        <w:rPr>
          <w:rFonts w:ascii="Arial" w:hAnsi="Arial" w:cs="Arial"/>
          <w:sz w:val="24"/>
          <w:szCs w:val="24"/>
          <w:lang w:val="en-GB"/>
        </w:rPr>
        <w:instrText xml:space="preserve"> ADDIN ZOTERO_ITEM CSL_CITATION {"citationID":"avr3o0suhr","properties":{"formattedCitation":"\\uldash{(Walker and Morgan, 2014)}","plainCitation":"(Walker and Morgan, 2014)","dontUpdate":true,"noteIndex":0},"citationItems":[{"id":621,"uris":["http://zotero.org/users/local/NciqjDvn/items/IAKA29TI"],"itemData":{"id":621,"type":"article-journal","abstract":"Many parasitic nematode species are generalists capable of infecting multiple host species. The complex life cycle of nematodes, involving partial development outside of the host, facilitates transmission of these parasites between host species even when there is no direct contact between hosts. Infective nematode larvae persist in the environment, and where grazing or water sources are shared ingestion of parasite larvae deposited by different host species is likely. In this paper we examine the extent to which nematode parasite species have been observed in sympatric wild and domestic ungulates. First, using existing host–parasite databases, we describe expected overlap of 412 nematode species between 76 wild and 8 domestic ungulate host species. Our results indicate that host-specific parasites make up less than half of the nematode parasites infecting any particular ungulate host species. For wild host species, between 14% (for common warthog) and 76% (for mouflon) of parasitic nematode species are shared with domestic species. For domestic host species, between 42% (for horse) and 77% (for llamas/alpacas) of parasitic nematode species are shared with wild species. We also present an index of liability to describe the risk of cross-boundary parasites to each host species. We then examine specific examples from the literature in which transmission of nematode parasites between domestic and wild ungulates is described. However, there are many limitations in the existing data due to geographical bias and certain host species being studied more frequently than others. Although we demonstrate that many species of parasitic nematode are found in both wild and domestic hosts, little work has been done to demonstrate whether transmission is occurring between species or whether similar strains circulate separately. Additional research on cross-species transmission, including the use of models and of genetic methods to define strains, will provide evidence to answer this question.","container-title":"International Journal for Parasitology: Parasites and Wildlife","DOI":"10.1016/j.ijppaw.2014.08.001","ISSN":"2213-2244","issue":"3","journalAbbreviation":"Int. J. Parasitol. Parasites Wildl.","language":"en","page":"242-250","source":"ScienceDirect","title":"Generalists at the interface: nematode transmission between wild and domestic ungulates","title-short":"Generalists at the interface","volume":"3","author":[{"family":"Walker","given":"Josephine G."},{"family":"Morgan","given":"Eric R."}],"issued":{"date-parts":[["2014",12,1]]}}}],"schema":"https://github.com/citation-style-language/schema/raw/master/csl-citation.json"} </w:instrText>
      </w:r>
      <w:r w:rsidRPr="00883FC0">
        <w:rPr>
          <w:rFonts w:ascii="Arial" w:hAnsi="Arial" w:cs="Arial"/>
          <w:sz w:val="24"/>
          <w:szCs w:val="24"/>
          <w:lang w:val="en-GB"/>
        </w:rPr>
        <w:fldChar w:fldCharType="separate"/>
      </w:r>
      <w:r w:rsidRPr="00883FC0">
        <w:rPr>
          <w:rFonts w:ascii="Arial" w:hAnsi="Arial" w:cs="Arial"/>
          <w:sz w:val="24"/>
          <w:szCs w:val="24"/>
          <w:lang w:val="en-GB"/>
        </w:rPr>
        <w:t>Walker and Morgan, 2014)</w:t>
      </w:r>
      <w:r w:rsidRPr="00883FC0">
        <w:rPr>
          <w:rFonts w:ascii="Arial" w:hAnsi="Arial" w:cs="Arial"/>
          <w:sz w:val="24"/>
          <w:szCs w:val="24"/>
          <w:lang w:val="en-GB"/>
        </w:rPr>
        <w:fldChar w:fldCharType="end"/>
      </w:r>
      <w:r w:rsidRPr="00883FC0">
        <w:rPr>
          <w:rFonts w:ascii="Arial" w:hAnsi="Arial" w:cs="Arial"/>
          <w:sz w:val="24"/>
          <w:szCs w:val="24"/>
          <w:lang w:val="en-GB"/>
        </w:rPr>
        <w:t xml:space="preserve">, including both domestic and wild ungulates </w:t>
      </w:r>
      <w:r w:rsidRPr="00883FC0">
        <w:rPr>
          <w:rFonts w:ascii="Arial" w:hAnsi="Arial" w:cs="Arial"/>
          <w:sz w:val="24"/>
          <w:szCs w:val="24"/>
          <w:lang w:val="en-GB"/>
        </w:rPr>
        <w:fldChar w:fldCharType="begin"/>
      </w:r>
      <w:r w:rsidRPr="00883FC0">
        <w:rPr>
          <w:rFonts w:ascii="Arial" w:hAnsi="Arial" w:cs="Arial"/>
          <w:sz w:val="24"/>
          <w:szCs w:val="24"/>
          <w:lang w:val="en-GB"/>
        </w:rPr>
        <w:instrText xml:space="preserve"> ADDIN ZOTERO_ITEM CSL_CITATION {"citationID":"a1nruruc962","properties":{"formattedCitation":"\\uldash{(Beaumelle et al., 2022; Cerutti et al., 2010)}","plainCitation":"(Beaumelle et al., 2022; Cerutti et al., 2010)","dontUpdate":true,"noteIndex":0},"citationItems":[{"id":3551,"uris":["http://zotero.org/users/local/NciqjDvn/items/CXSW5XXN"],"itemData":{"id":3551,"type":"article-journal","abstract":"The growth of livestock farming and the recent expansion of wild ungulate populations in Europe favor opportunities for direct and/or indirect cross-transmission of pathogens. Comparatively few studies have investigated the epidemiology of gastro-intestinal nematode parasites, an ubiquitous and important community of parasites of ungulates, at the wildlife/livestock interface. In this study, we aimed to assess the influence of livestock proximity on the gastrointestinal nematode community of roe deer in a rural landscape located in southern France. Using ITS-2 rDNA nemabiome metabarcoding on fecal larvae, we analysed the gastrointestinal nematode communities of roe deer and sheep. In addition, we investigated Haemonchus contortus nad4 mtDNA diversity to specifically test parasite circulation among domestic and wild host populations. The dominant gastrointestinal nematode species found in both the roe deer and sheep were generalist species commonly found in small ruminant livestock (e.g. H. contortus), whereas the more specialised wild cervid nematode species (e.g. Ostertagia leptospicularis) were only present at low frequencies. This is in marked contrast with previous studies that found the nemabiomes of wild cervid populations to be dominated by cervid specialist nematode species. In addition, the lack of genetic structure of the nad4 mtDNA of H. contortus populations between host species suggests circulation of gastrointestinal nematodes between roe deer and sheep. The risk of contact with livestock only has a small influence on the nemabiome of roe deer, suggesting the parasite population of roe deer has been displaced by generalist livestock parasites due to many decades of sheep farming, not only for deer grazing close to pastures, but also at a larger regional scale. We also observed some seasonal variation in the nemabiome composition of roe deer. Overall, our results demonstrate significant exchange of gastrointestinal nematodes between domestic and wild ungulates, with generalist species spilling over from domestic ungulates dominating wild cervid parasite communities.","container-title":"International Journal for Parasitology","DOI":"10.1016/j.ijpara.2022.07.005","ISSN":"0020-7519","journalAbbreviation":"International Journal for Parasitology","language":"en","source":"ScienceDirect","title":"Generalist nematodes dominate the nemabiome of roe deer in sympatry with sheep at a regional level","URL":"https://www.sciencedirect.com/science/article/pii/S0020751922001175","author":[{"family":"Beaumelle","given":"Camille"},{"family":"Redman","given":"Elizabeth"},{"family":"Verheyden","given":"Hélène"},{"family":"Jacquiet","given":"Philippe"},{"family":"Bégoc","given":"Noémie"},{"family":"Veyssière","given":"Florence"},{"family":"Benabed","given":"Slimania"},{"family":"Cargnelutti","given":"Bruno"},{"family":"Lourtet","given":"Bruno"},{"family":"Poirel","given":"Marie-Thérèse"},{"family":"Rijke","given":"Jill","non-dropping-particle":"de"},{"family":"Yannic","given":"Glenn"},{"family":"Gilleard","given":"John S."},{"family":"Bourgoin","given":"Gilles"}],"accessed":{"date-parts":[["2022",11,24]]},"issued":{"date-parts":[["2022",9,30]]}}},{"id":631,"uris":["http://zotero.org/users/local/NciqjDvn/items/7L2VHUIH"],"itemData":{"id":631,"type":"article-journal","abstract":"Genetic variability of the ovine parasite Haemonchus contortus from the Alpine area was investigated using mitochondrial DNA (nd4 gene), internal transcribed spacers 1 and 2 and microsatellites, in order to assess whether cross-transmission between domestic and wild ruminants occurs. The dataset was composed of 78 individual adult male H. contortus collected from chamois (Rupicapra r. rupicapra), roe deer (Capreolus capreolus), alpine ibex (Capra ibex ibex), domestic goat (Capra hircus) and sheep (Ovis aries) from different alpine areas. The data obtained show low host specificity and high genetic variation within H. contortus populations. The analyses indicate the presence of two mitochondrial haplotype clusters among host species and the absence of cryptic parasite species, confirming H. contortus as a generalist nematode and suggesting that parasite transmission between populations of domestic and wild ruminants normally occurs.","container-title":"Journal of Helminthology","DOI":"10.1017/S0022149X09990587","ISSN":"1475-2697, 0022-149X","issue":"3","language":"en","page":"276-283","source":"Cambridge Core","title":"Genetic variability of &lt;i&gt;Haemonchus contortus&lt;/i&gt; (Nematoda: Trichostrongyloidea) in alpine ruminant host species","title-short":"Genetic variability of Haemonchus contortus (Nematoda","volume":"84","author":[{"family":"Cerutti","given":"M. C."},{"family":"Citterio","given":"C. V."},{"family":"Bazzocchi","given":"C."},{"family":"Epis","given":"S."},{"family":"D'Amelio","given":"S."},{"family":"Ferrari","given":"N."},{"family":"Lanfranchi","given":"P."}],"issued":{"date-parts":[["2010",9]]}}}],"schema":"https://github.com/citation-style-language/schema/raw/master/csl-citation.json"} </w:instrText>
      </w:r>
      <w:r w:rsidRPr="00883FC0">
        <w:rPr>
          <w:rFonts w:ascii="Arial" w:hAnsi="Arial" w:cs="Arial"/>
          <w:sz w:val="24"/>
          <w:szCs w:val="24"/>
          <w:lang w:val="en-GB"/>
        </w:rPr>
        <w:fldChar w:fldCharType="separate"/>
      </w:r>
      <w:r w:rsidRPr="00883FC0">
        <w:rPr>
          <w:rFonts w:ascii="Arial" w:hAnsi="Arial" w:cs="Arial"/>
          <w:sz w:val="24"/>
          <w:szCs w:val="24"/>
          <w:lang w:val="en-GB"/>
        </w:rPr>
        <w:t>(e.g., Beaumelle et al., 2022; Cerutti et al., 2010)</w:t>
      </w:r>
      <w:r w:rsidRPr="00883FC0">
        <w:rPr>
          <w:rFonts w:ascii="Arial" w:hAnsi="Arial" w:cs="Arial"/>
          <w:sz w:val="24"/>
          <w:szCs w:val="24"/>
          <w:lang w:val="en-GB"/>
        </w:rPr>
        <w:fldChar w:fldCharType="end"/>
      </w:r>
      <w:r w:rsidRPr="00883FC0">
        <w:rPr>
          <w:rFonts w:ascii="Arial" w:hAnsi="Arial" w:cs="Arial"/>
          <w:sz w:val="24"/>
          <w:szCs w:val="24"/>
          <w:lang w:val="en-GB"/>
        </w:rPr>
        <w:t>. The transmission of gastrointestinal nematodes among hosts, even if they do not simultaneously occupy the same pastures, is possible thanks to their free-living infective larval stage</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which</w:t>
      </w:r>
      <w:r w:rsidRPr="00883FC0">
        <w:rPr>
          <w:rFonts w:ascii="Arial" w:hAnsi="Arial" w:cs="Arial"/>
          <w:sz w:val="24"/>
          <w:szCs w:val="24"/>
          <w:lang w:val="en-GB"/>
        </w:rPr>
        <w:t xml:space="preserve"> may </w:t>
      </w:r>
      <w:r w:rsidR="00647E14" w:rsidRPr="00883FC0">
        <w:rPr>
          <w:rFonts w:ascii="Arial" w:hAnsi="Arial" w:cs="Arial"/>
          <w:sz w:val="24"/>
          <w:szCs w:val="24"/>
          <w:lang w:val="en-GB"/>
        </w:rPr>
        <w:t xml:space="preserve">remain </w:t>
      </w:r>
      <w:r w:rsidRPr="00883FC0">
        <w:rPr>
          <w:rFonts w:ascii="Arial" w:hAnsi="Arial" w:cs="Arial"/>
          <w:sz w:val="24"/>
          <w:szCs w:val="24"/>
          <w:lang w:val="en-GB"/>
        </w:rPr>
        <w:t>active</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in the environment for</w:t>
      </w:r>
      <w:r w:rsidRPr="00883FC0">
        <w:rPr>
          <w:rFonts w:ascii="Arial" w:hAnsi="Arial" w:cs="Arial"/>
          <w:sz w:val="24"/>
          <w:szCs w:val="24"/>
          <w:lang w:val="en-GB"/>
        </w:rPr>
        <w:t xml:space="preserve"> several months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{"citationID":"a1tv01hvqmi","properties":{"formattedCitation":"(Carlsson et al., 2013; Fiel et al., 2012; Walker and Morgan, 2014)","plainCitation":"(Carlsson et al., 2013; Fiel et al., 2012; Walker and Morgan, 2014)","noteIndex":0},"citationItems":[{"id":4328,"uris":["http://zotero.org/users/local/NciqjDvn/items/5U4LPZYK"],"itemData":{"id":4328,"type":"article-journal","abstract":"For nematodes with a direct life cycle, transmission is highly dependent on temperature-related development and survival of the free-living stages. Therefore, in the Arctic, where the winter lasts from October to May, nematode transmission is expected to be focused in the short summer season, yet there is strong evidence that as well as focussing egg output during winter months, the nematode parasite, Marshallagia marshalli, infects Svalbard reindeer during the Arctic winter when temperatures are persistently below freezing. To investigate the potential for development and survival of eggs and infective third-stage larvae in winter and therefore the possibility of for winter transmission, we ran a series of low-temperature laboratory experiments. These provide five key insights into the transmission and survival of the free-living stages of M. marshalli: (1) eggs hatched at temperatures as low as 2 °C, but not below 0 °C, (2) eggs were viable and developed after being exposed to sub-zero temperatures for up to 28 months, (3) infective-stage larvae survived for up to 80 days at 5 °C, (4) infective-stage larvae could survive rapid exposure to temperatures below −30 °C, and (5) desiccation resistance may be important for long-term larval survival at low temperatures. Together, these results indicate that eggs deposited during the winter are highly tolerant of prevailing environmental conditions and have the potential for rapid development with the onset of spring. It is therefore likely that the parasite remains in the egg stage in the faeces during the winter of deposition, hatch and develop into the infective larval stage in the summer, remaining viable on the tundra until the reindeer host returns to the winter feeding grounds the following winter.","container-title":"Polar Biology","DOI":"10.1007/s00300-013-1323-7","ISSN":"1432-2056","issue":"7","journalAbbreviation":"Polar Biol","language":"en","page":"997-1005","source":"Springer Link","title":"Adaptations to the Arctic: low-temperature development and cold tolerance in the free-living stages of a parasitic nematode from Svalbard","title-short":"Adaptations to the Arctic","volume":"36","author":[{"family":"Carlsson","given":"A. M."},{"family":"Irvine","given":"R. J."},{"family":"Wilson","given":"K."},{"family":"Coulson","given":"S. J."}],"issued":{"date-parts":[["2013",7,1]]}}},{"id":4165,"uris":["http://zotero.org/users/local/NciqjDvn/items/CT78PLW2"],"itemData":{"id":4165,"type":"article-journal","abstract":"A 4-year study on the free-living stages of cattle gastrointestinal nematodes was conducted to determine (a) the development time from egg to infective larvae (L3) inside the faecal pats, (b) the pasture infectivity levels over time, and (c) the survival of L3 on pasture. Naturally infected calves were allowed to contaminate 16 plots on monthly basis. Weekly monitoring of eggs per gram of faeces (epg) values and faecal cultures from these animals provided data for the contamination patterns and the relative nematode population composition. At the same time, faecal pats were shaped and deposited monthly onto herbage and sampled weekly to determine the development time from egg to L3. Herbage samples were collected fortnightly over a 16-month period after deposition to evaluate the pasture larval infectivity and survival of L3 over time. The development time from egg to L3 was 1–2 weeks in summer, 3–5 weeks in autumn, 4–6 weeks in winter, and 1–4 weeks in spring. The levels of contamination and pasture infectivity showed a clear seasonality during autumn–winter and spring, whilst a high mortality of larvae on pasture occurred in summer. Ostertagia spp., Cooperia spp. and Trichostrongylus spp. were predominant and a survival of L3 on pasture over a 1-year period was recorded in this study.","container-title":"Veterinary Parasitology","DOI":"10.1016/j.vetpar.2012.01.011","ISSN":"0304-4017","issue":"1","journalAbbreviation":"Veterinary Parasitology","language":"en","page":"217-226","source":"ScienceDirect","title":"Observations on the free-living stages of cattle gastrointestinal nematodes","volume":"187","author":[{"family":"Fiel","given":"C. A."},{"family":"Fernández","given":"A. S."},{"family":"Rodríguez","given":"E. M."},{"family":"Fusé","given":"L. A."},{"family":"Steffan","given":"P. E."}],"issued":{"date-parts":[["2012",6,8]]}}},{"id":621,"uris":["http://zotero.org/users/local/NciqjDvn/items/IAKA29TI"],"itemData":{"id":621,"type":"article-journal","abstract":"Many parasitic nematode species are generalists capable of infecting multiple host species. The complex life cycle of nematodes, involving partial development outside of the host, facilitates transmission of these parasites between host species even when there is no direct contact between hosts. Infective nematode larvae persist in the environment, and where grazing or water sources are shared ingestion of parasite larvae deposited by different host species is likely. In this paper we examine the extent to which nematode parasite species have been observed in sympatric wild and domestic ungulates. First, using existing host–parasite databases, we describe expected overlap of 412 nematode species between 76 wild and 8 domestic ungulate host species. Our results indicate that host-specific parasites make up less than half of the nematode parasites infecting any particular ungulate host species. For wild host species, between 14% (for common warthog) and 76% (for mouflon) of parasitic nematode species are shared with domestic species. For domestic host species, between 42% (for horse) and 77% (for llamas/alpacas) of parasitic nematode species are shared with wild species. We also present an index of liability to describe the risk of cross-boundary parasites to each host species. We then examine specific examples from the literature in which transmission of nematode parasites between domestic and wild ungulates is described. However, there are many limitations in the existing data due to geographical bias and certain host species being studied more frequently than others. Although we demonstrate that many species of parasitic nematode are found in both wild and domestic hosts, little work has been done to demonstrate whether transmission is occurring between species or whether similar strains circulate separately. Additional research on cross-species transmission, including the use of models and of genetic methods to define strains, will provide evidence to answer this question.","container-title":"International Journal for Parasitology: Parasites and Wildlife","DOI":"10.1016/j.ijppaw.2014.08.001","ISSN":"2213-2244","issue":"3","journalAbbreviation":"Int. J. Parasitol. Parasites Wildl.","language":"en","page":"242-250","source":"ScienceDirect","title":"Generalists at the interface: nematode transmission between wild and domestic ungulates","title-short":"Generalists at the interface","volume":"3","author":[{"family":"Walker","given":"Josephine G."},{"family":"Morgan","given":"Eric R."}],"issued":{"date-parts":[["2014",12,1]]}}}],"schema":"https://github.com/citation-style-language/schema/raw/master/csl-citation.json"}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(Carlsson et al., 2013; Fiel et al., 2012; Walker and Morgan, 2014)</w:t>
      </w:r>
      <w:r w:rsidRPr="00883FC0">
        <w:rPr>
          <w:rFonts w:ascii="Arial" w:hAnsi="Arial" w:cs="Arial"/>
          <w:sz w:val="24"/>
          <w:szCs w:val="24"/>
          <w:lang w:val="en-GB"/>
        </w:rPr>
        <w:fldChar w:fldCharType="end"/>
      </w:r>
      <w:r w:rsidRPr="00883FC0">
        <w:rPr>
          <w:rFonts w:ascii="Arial" w:hAnsi="Arial" w:cs="Arial"/>
          <w:sz w:val="24"/>
          <w:szCs w:val="24"/>
          <w:lang w:val="en-GB"/>
        </w:rPr>
        <w:t>. Transmitted parasites can also include gastrointestinal nematodes resistant to anthelmintics. For instance, benzimidazole-resistant nematodes have been detected in free-living populations of roe deer</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w:t>
      </w:r>
      <w:r w:rsidR="00020FAA" w:rsidRPr="00883FC0">
        <w:rPr>
          <w:rFonts w:ascii="Arial" w:hAnsi="Arial" w:cs="Arial"/>
          <w:i/>
          <w:sz w:val="24"/>
          <w:szCs w:val="24"/>
          <w:lang w:val="en-GB"/>
        </w:rPr>
        <w:t>Capreolus capreolus</w:t>
      </w:r>
      <w:r w:rsidR="002237AC" w:rsidRPr="002237AC">
        <w:rPr>
          <w:rFonts w:ascii="Arial" w:hAnsi="Arial" w:cs="Arial"/>
          <w:sz w:val="24"/>
          <w:szCs w:val="24"/>
          <w:highlight w:val="yellow"/>
          <w:lang w:val="en-GB"/>
        </w:rPr>
        <w:t>),</w:t>
      </w:r>
      <w:r w:rsidRPr="00883FC0">
        <w:rPr>
          <w:rFonts w:ascii="Arial" w:hAnsi="Arial" w:cs="Arial"/>
          <w:sz w:val="24"/>
          <w:szCs w:val="24"/>
          <w:lang w:val="en-GB"/>
        </w:rPr>
        <w:t xml:space="preserve"> living in sympatry with livestock </w:t>
      </w:r>
      <w:r w:rsidRPr="00883FC0">
        <w:rPr>
          <w:rFonts w:ascii="Arial" w:hAnsi="Arial" w:cs="Arial"/>
          <w:sz w:val="24"/>
          <w:szCs w:val="24"/>
          <w:lang w:val="en-GB"/>
        </w:rPr>
        <w:fldChar w:fldCharType="begin"/>
      </w:r>
      <w:r w:rsidRPr="00883FC0">
        <w:rPr>
          <w:rFonts w:ascii="Arial" w:hAnsi="Arial" w:cs="Arial"/>
          <w:sz w:val="24"/>
          <w:szCs w:val="24"/>
          <w:lang w:val="en-GB"/>
        </w:rPr>
        <w:instrText xml:space="preserve"> ADDIN ZOTERO_ITEM CSL_CITATION {"citationID":"BOyqLRYW","properties":{"formattedCitation":"(Chintoan-Uta et al., 2014; Nagy et al., 2017)","plainCitation":"(Chintoan-Uta et al., 2014; Nagy et al., 2017)","dontUpdate":true,"noteIndex":0},"citationItems":[{"id":567,"uris":["http://zotero.org/users/local/NciqjDvn/items/F67VFVJF"],"itemData":{"id":567,"type":"article-journal","abstract":"Gastrointestinal (GI) nematodes are among the most important causes of production loss in farmed ruminants, and anthelmintic resistance is emerging globally. We hypothesized that wild deer could potentially act as reservoirs of anthelmintic-resistant GI nematodes between livestock farms. Adult abomasal nematodes and faecal samples were collected from fallow (n = 24), red (n = 14) and roe deer (n = 10) from venison farms and areas of extensive or intensive livestock farming. Principal components analysis of abomasal nematode species composition revealed differences between wild roe deer grazing in the areas of intensive livestock farming, and fallow and red deer in all environments. Alleles for benzimidazole (BZ) resistance were identified in β-tubulin of Haemonchus contortus of roe deer and phenotypic resistance confirmed in vitro by an egg hatch test (EC50 = 0.149 µg ml−1 ± 0.13 µg ml−1) on H. contortus eggs from experimentally infected sheep. This BZ-resistant H. contortus isolate also infected a calf experimentally. We present the first account of in vitro BZ resistance in wild roe deer, but further experiments should firmly establish the presence of phenotypic BZ resistance in vivo. Comprehensive in-field studies should assess whether nematode cross-transmission between deer and livestock occurs and contributes, in any way, to the development of resistance on livestock farms.","container-title":"Proceedings of the Royal Society B: Biological Sciences","DOI":"10.1098/rspb.2013.2985","issue":"1780","journalAbbreviation":"Proceedings of the Royal Society B: Biological Sciences","page":"20132985","source":"royalsocietypublishing.org (Atypon)","title":"Wild deer as potential vectors of anthelmintic-resistant abomasal nematodes between cattle and sheep farms","volume":"281","author":[{"family":"Chintoan-Uta","given":"C."},{"family":"Morgan","given":"E. R."},{"family":"Skuce","given":"P. J."},{"family":"Coles","given":"G. C."}],"issued":{"date-parts":[["2014",4,7]]}}},{"id":561,"uris":["http://zotero.org/users/local/NciqjDvn/items/LMQARZLK"],"itemData":{"id":561,"type":"article-journal","abstract":"The anthelmintic resistance of gastrointestinal nematodes is one of the most important, economic risk factors in grazing ruminant systems, all over the world. We have infinitesimal information about the resistance status of nematodes in deer species. Our aim was to determine the presence of BZ resistance in the generalist worm, Haemonchus contortus in pastured sheep and free ranging red and roe deer by RFLP-PCR method based on the detection Phe200Tyr single nucleotide polymorphism. By investigation of 70 worms from each host species, the homozygous susceptible genotype was the most representative in the red deer (100%), the homozygous resistant genotype was most prevalent in the sheep (68.6%) and moderate in the roe deer (17.1%), while the heterozygous genotype was observed in equal proportion in the sheep and roe deer (28.6%). Our results suggest that overlapping habitats of sheep flocks and roe deer could contribute to the occurrence and spread of resistant allele within wildlife.","container-title":"Small Ruminant Research","DOI":"10.1016/j.smallrumres.2017.02.012","ISSN":"0921-4488","journalAbbreviation":"Small Ruminant Research","page":"172-175","source":"ScienceDirect","title":"Benzimidazole resistance within red deer, roe deer and sheep populations within a joint habitat in Hungary","volume":"149","author":[{"family":"Nagy","given":"Gábor"},{"family":"Csivincsik","given":"Ágnes"},{"family":"Sugár","given":"László"},{"family":"Zsolnai","given":"Attila"}],"issued":{"date-parts":[["2017",4,1]]}}}],"schema":"https://github.com/citation-style-language/schema/raw/master/csl-citation.json"} </w:instrText>
      </w:r>
      <w:r w:rsidRPr="00883FC0">
        <w:rPr>
          <w:rFonts w:ascii="Arial" w:hAnsi="Arial" w:cs="Arial"/>
          <w:sz w:val="24"/>
          <w:szCs w:val="24"/>
          <w:lang w:val="en-GB"/>
        </w:rPr>
        <w:fldChar w:fldCharType="separate"/>
      </w:r>
      <w:r w:rsidRPr="00883FC0">
        <w:rPr>
          <w:rFonts w:ascii="Arial" w:hAnsi="Arial" w:cs="Arial"/>
          <w:sz w:val="24"/>
          <w:lang w:val="en-GB"/>
        </w:rPr>
        <w:t>(Chintoan-Uta et al., 2014; Nagy et al., 2017)</w:t>
      </w:r>
      <w:r w:rsidRPr="00883FC0">
        <w:rPr>
          <w:rFonts w:ascii="Arial" w:hAnsi="Arial" w:cs="Arial"/>
          <w:sz w:val="24"/>
          <w:szCs w:val="24"/>
          <w:lang w:val="en-GB"/>
        </w:rPr>
        <w:fldChar w:fldCharType="end"/>
      </w:r>
      <w:r w:rsidRPr="00883FC0">
        <w:rPr>
          <w:rFonts w:ascii="Arial" w:hAnsi="Arial" w:cs="Arial"/>
          <w:sz w:val="24"/>
          <w:szCs w:val="24"/>
          <w:lang w:val="en-GB"/>
        </w:rPr>
        <w:t xml:space="preserve">. To date, the role of wild ungulates in the epidemiology of resistant nematodes remains to be determined, but it has been suggested that wildlife may act as a reservoir of resistant nematodes for livestock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{"citationID":"epz0oeXj","properties":{"formattedCitation":"(Brown et al., 2022; Chintoan-Uta et al., 2014; Francis and \\uc0\\u352{}lapeta, 2023; Laca Megyesi et al., 2019; Walker and Morgan, 2014)","plainCitation":"(Brown et al., 2022; Chintoan-Uta et al., 2014; Francis and Šlapeta, 2023; Laca Megyesi et al., 2019; Walker and Morgan, 2014)","noteIndex":0},"citationItems":[{"id":2533,"uris":["http://zotero.org/users/local/NciqjDvn/items/VB9GI6F2"],"itemData":{"id":2533,"type":"article-journal","abstract":"Wild ruminants are susceptible to infection from generalist helminth species, which can also infect domestic ruminants. A better understanding is required of the conditions under which wild ruminants can act as a source of helminths (including anthelmintic-resistant genotypes) for domestic ruminants, and vice versa, with the added possibility that wildlife could act as refugia for drug-susceptible genotypes and hence buffer the spread and development of resistance. Helminth infections cause significant productivity losses in domestic ruminants and a growing resistance to all classes of anthelmintic drug escalates concerns around helminth infection in the livestock industry. Previous research demonstrates that drug-resistant strains of the pathogenic nematode Haemonchus contortus can be transmitted between wild and domestic ruminants, and that gastro-intestinal nematode infections are more intense in wild ruminants within areas of high livestock density. In this article, the factors likely to influence the role of wild ruminants in helminth infections and anthelmintic resistance in livestock are considered, including host population movement across heterogeneous landscapes, and the effects of climate and environment on parasite dynamics. Methods of predicting and validating suspected drivers of helminth transmission in this context are considered based on advances in predictive modelling and molecular tools.","container-title":"Biology Letters","DOI":"10.1098/rsbl.2022.0057","issue":"5","note":"publisher: Royal Society","page":"20220057","source":"royalsocietypublishing-org.univ-smb.idm.oclc.org (Atypon)","title":"Understanding the role of wild ruminants in anthelmintic resistance in livestock","volume":"18","author":[{"family":"Brown","given":"Tony L."},{"family":"Airs","given":"Paul M."},{"family":"Porter","given":"Siobhán"},{"family":"Caplat","given":"Paul"},{"family":"Morgan","given":"Eric R."}],"issued":{"date-parts":[["2022"]]}}},{"id":567,"uris":["http://zotero.org/users/local/NciqjDvn/items/F67VFVJF"],"itemData":{"id":567,"type":"article-journal","abstract":"Gastrointestinal (GI) nematodes are among the most important causes of production loss in farmed ruminants, and anthelmintic resistance is emerging globally. We hypothesized that wild deer could potentially act as reservoirs of anthelmintic-resistant GI nematodes between livestock farms. Adult abomasal nematodes and faecal samples were collected from fallow (n = 24), red (n = 14) and roe deer (n = 10) from venison farms and areas of extensive or intensive livestock farming. Principal components analysis of abomasal nematode species composition revealed differences between wild roe deer grazing in the areas of intensive livestock farming, and fallow and red deer in all environments. Alleles for benzimidazole (BZ) resistance were identified in β-tubulin of Haemonchus contortus of roe deer and phenotypic resistance confirmed in vitro by an egg hatch test (EC50 = 0.149 µg ml−1 ± 0.13 µg ml−1) on H. contortus eggs from experimentally infected sheep. This BZ-resistant H. contortus isolate also infected a calf experimentally. We present the first account of in vitro BZ resistance in wild roe deer, but further experiments should firmly establish the presence of phenotypic BZ resistance in vivo. Comprehensive in-field studies should assess whether nematode cross-transmission between deer and livestock occurs and contributes, in any way, to the development of resistance on livestock farms.","container-title":"Proceedings of the Royal Society B: Biological Sciences","DOI":"10.1098/rspb.2013.2985","issue":"1780","journalAbbreviation":"Proceedings of the Royal Society B: Biological Sciences","page":"20132985","source":"royalsocietypublishing.org (Atypon)","title":"Wild deer as potential vectors of anthelmintic-resistant abomasal nematodes between cattle and sheep farms","volume":"281","author":[{"family":"Chintoan-Uta","given":"C."},{"family":"Morgan","given":"E. R."},{"family":"Skuce","given":"P. J."},{"family":"Coles","given":"G. C."}],"issued":{"date-parts":[["2014",4,7]]}}},{"id":5027,"uris":["http://zotero.org/users/local/NciqjDvn/items/RI6SGTJT"],"itemData":{"id":5027,"type":"article-journal","abstract":"Gastrointestinal nematodes threaten the productivity of grazing livestock and anthelmintic resistance has emerged globally. It is broadly understood that wild ruminants living in sympatry with livestock act as a positive source of refugia for anthelmintic-susceptible nematodes. However, they might also act as reservoirs of anthelmintic-resistant nematodes, contributing to the spread of anthelmintic resistance at a regional scale. Here, we sampled managed sheep and cattle together with feral goats within the same property in New South Wales, Australia. Internal transcribed spacer 2 (ITS-2) nemabiome metabarcoding identified 12 gastrointestinal nematodes (Cooperia oncophora, Cooperia punctata, Haemonchus contortus, Haemonchus placei, Nematodirus spathiger, Ostertagia ostertagi, Teladorsagia circumcincta, Oesophagostomum radiatum, Oesophagostomum venulosum, Trichostrongylus axei, Trichostrongylus colubriformis and Trichostrongylus rugatus). Isotype-1 β-tubulin metabarcoding targeting benzimidazole resistance polymorphisms identified 6 of these nematode species (C. oncophora, C. punctata, H. contortus, H. placei, O. ostertagi and T. circumcincta), with the remaining 3 genera unable to be identified to the species level (Nematodirus, Oesophagostomum, Trichostrongylus). Both ITS-2 and β-tubulin metabarcoding showed the presence of a cryptic species of T. circumcincta, known from domestic goats in France. Of the gastrointestinal nematodes detected via β-tubulin metabarcoding, H. contortus, T. circumcincta, Nematodirus and Trichostrongylus exhibited the presence of at least one resistance genotype. We found that generalist gastrointestinal nematodes in untreated feral goats had a similarly high frequency of the benzimidazole-resistant F200Y polymorphism as those nematodes in sheep and cattle. This suggests cross-transmission and maintenance of the resistant genotype within the wild ruminant population, affirming that wild ruminants should be considered potential reservoirs of anthelmintic resistance.","container-title":"Parasitology","DOI":"10.1017/S0031182023000380","ISSN":"1469-8161","journalAbbreviation":"Parasitology","language":"eng","note":"PMID: 37165895","page":"1-11","source":"PubMed","title":"Refugia or reservoir? Feral goats and their role in the maintenance and circulation of benzimidazole-resistant gastrointestinal nematodes on shared pastures","title-short":"Refugia or reservoir?","author":[{"family":"Francis","given":"Emily Kate"},{"family":"Šlapeta","given":"Jan"}],"issued":{"date-parts":[["2023",5,11]]}}},{"id":3360,"uris":["http://zotero.org/users/local/NciqjDvn/items/PYPTTD7R"],"itemData":{"id":3360,"type":"article-journal","abstract":"Anthelmintic resistance (AR) and gastrointestinal (GI) parasitism are well-known phenomena in domestic ruminants. Wild ruminants, however, pose a potential threat for the spread of AR to sheep and goat farms. We infected three species of wild ruminants, European mouflon (Ovis musimon), roe deer (Capreolus capreolus) and fallow deer (Dama dama), with 8000 third-stage larvae (L3) of the susceptible MHco3 strain and the resistant MHco4 strain of Haemonchus contortus. Infection intensity was highest in mouflons (26,500 ± 150.00 eggs per gramme (EPG) of faeces) on day (D) 58. The roe and fallow deer had low egg counts (50 ± 23.57 to 150 ± 80.64 EPG) to D58, after which no eggs were detected. In vitro egg hatch tests (EHTs) and larval development tests (LDTs) indicated the same level of benzimidazole resistance between mouflons and domestic sheep. Two domestic lambs were then infected with 2500 MHco4 L3 larvae and moved to a clean pasture. Two parasite-free roe deer were introduced to the same pasture 6 weeks later. Infection intensity in the two roe deer was highest on D35, at 800 and 4400 EPG. ED50 from the EHTs, LD50 from the LDTs, and the presence of H. contortus in faecal samples confirmed the transmission of the resistant strain from the wild to the domestic ruminants in the same pasture.","container-title":"European Journal of Wildlife Research","DOI":"10.1007/s10344-019-1351-x","ISSN":"1439-0574","issue":"1","journalAbbreviation":"Eur J Wildl Res","language":"en","page":"9","source":"Springer Link","title":"Wild ruminants as a potential risk factor for transmission of drug resistance in the abomasal nematode &lt;i&gt;Haemonchus contortus&lt;/i&gt;","volume":"66","author":[{"family":"Laca Megyesi","given":"Štefánia"},{"family":"Königová","given":"Alžbeta"},{"family":"Babják","given":"Michal"},{"family":"Molnár","given":"Ladislav"},{"family":"Rajský","given":"Matúš"},{"family":"Szestáková","given":"Edina"},{"family":"Major","given":"Peter"},{"family":"Soroka","given":"Jaroslav"},{"family":"Urda Dolinská","given":"Michaela"},{"family":"Komáromyová","given":"Michaela"},{"family":"Várady","given":"Marián"}],"issued":{"date-parts":[["2019",12,21]]}}},{"id":621,"uris":["http://zotero.org/users/local/NciqjDvn/items/IAKA29TI"],"itemData":{"id":621,"type":"article-journal","abstract":"Many parasitic nematode species are generalists capable of infecting multiple host species. The complex life cycle of nematodes, involving partial development outside of the host, facilitates transmission of these parasites between host species even when there is no direct contact between hosts. Infective nematode larvae persist in the environment, and where grazing or water sources are shared ingestion of parasite larvae deposited by different host species is likely. In this paper we examine the extent to which nematode parasite species have been observed in sympatric wild and domestic ungulates. First, using existing host–parasite databases, we describe expected overlap of 412 nematode species between 76 wild and 8 domestic ungulate host species. Our results indicate that host-specific parasites make up less than half of the nematode parasites infecting any particular ungulate host species. For wild host species, between 14% (for common warthog) and 76% (for mouflon) of parasitic nematode species are shared with domestic species. For domestic host species, between 42% (for horse) and 77% (for llamas/alpacas) of parasitic nematode species are shared with wild species. We also present an index of liability to describe the risk of cross-boundary parasites to each host species. We then examine specific examples from the literature in which transmission of nematode parasites between domestic and wild ungulates is described. However, there are many limitations in the existing data due to geographical bias and certain host species being studied more frequently than others. Although we demonstrate that many species of parasitic nematode are found in both wild and domestic hosts, little work has been done to demonstrate whether transmission is occurring between species or whether similar strains circulate separately. Additional research on cross-species transmission, including the use of models and of genetic methods to define strains, will provide evidence to answer this question.","container-title":"International Journal for Parasitology: Parasites and Wildlife","DOI":"10.1016/j.ijppaw.2014.08.001","ISSN":"2213-2244","issue":"3","journalAbbreviation":"Int. J. Parasitol. Parasites Wildl.","language":"en","page":"242-250","source":"ScienceDirect","title":"Generalists at the interface: nematode transmission between wild and domestic ungulates","title-short":"Generalists at the interface","volume":"3","author":[{"family":"Walker","given":"Josephine G."},{"family":"Morgan","given":"Eric R."}],"issued":{"date-parts":[["2014",12,1]]}}}],"schema":"https://github.com/citation-style-language/schema/raw/master/csl-citation.json"}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(Brown et al., 2022; Chintoan-Uta et al., 2014; Francis and Šlapeta, 2023; Laca Megyesi et al., 2019; Walker and Morgan, 2014)</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647E14" w:rsidRPr="00883FC0">
        <w:rPr>
          <w:rFonts w:ascii="Arial" w:hAnsi="Arial" w:cs="Arial"/>
          <w:sz w:val="24"/>
          <w:szCs w:val="24"/>
          <w:lang w:val="en-GB"/>
        </w:rPr>
        <w:t>T</w:t>
      </w:r>
      <w:r w:rsidRPr="00883FC0">
        <w:rPr>
          <w:rFonts w:ascii="Arial" w:hAnsi="Arial" w:cs="Arial"/>
          <w:sz w:val="24"/>
          <w:szCs w:val="24"/>
          <w:lang w:val="en-GB"/>
        </w:rPr>
        <w:t>o</w:t>
      </w:r>
      <w:r w:rsidR="00020FAA" w:rsidRPr="00883FC0">
        <w:rPr>
          <w:rFonts w:ascii="Arial" w:hAnsi="Arial" w:cs="Arial"/>
          <w:sz w:val="24"/>
          <w:szCs w:val="24"/>
          <w:lang w:val="en-GB"/>
        </w:rPr>
        <w:t xml:space="preserve"> accurately</w:t>
      </w:r>
      <w:r w:rsidRPr="00883FC0">
        <w:rPr>
          <w:rFonts w:ascii="Arial" w:hAnsi="Arial" w:cs="Arial"/>
          <w:sz w:val="24"/>
          <w:szCs w:val="24"/>
          <w:lang w:val="en-GB"/>
        </w:rPr>
        <w:t xml:space="preserve"> </w:t>
      </w:r>
      <w:r w:rsidR="00020FAA" w:rsidRPr="00883FC0">
        <w:rPr>
          <w:rFonts w:ascii="Arial" w:hAnsi="Arial" w:cs="Arial"/>
          <w:sz w:val="24"/>
          <w:szCs w:val="24"/>
          <w:lang w:val="en-GB"/>
        </w:rPr>
        <w:t xml:space="preserve">evaluate </w:t>
      </w:r>
      <w:r w:rsidR="00647E14" w:rsidRPr="00883FC0">
        <w:rPr>
          <w:rFonts w:ascii="Arial" w:hAnsi="Arial" w:cs="Arial"/>
          <w:sz w:val="24"/>
          <w:szCs w:val="24"/>
          <w:lang w:val="en-GB"/>
        </w:rPr>
        <w:t>this hypothesis</w:t>
      </w:r>
      <w:r w:rsidR="00397857" w:rsidRPr="00883FC0">
        <w:rPr>
          <w:rFonts w:ascii="Arial" w:hAnsi="Arial" w:cs="Arial"/>
          <w:sz w:val="24"/>
          <w:szCs w:val="24"/>
          <w:lang w:val="en-GB"/>
        </w:rPr>
        <w:t>, we need to</w:t>
      </w:r>
      <w:r w:rsidR="00020FAA" w:rsidRPr="00883FC0">
        <w:rPr>
          <w:rFonts w:ascii="Arial" w:hAnsi="Arial" w:cs="Arial"/>
          <w:sz w:val="24"/>
          <w:szCs w:val="24"/>
          <w:lang w:val="en-GB"/>
        </w:rPr>
        <w:t xml:space="preserve"> </w:t>
      </w:r>
      <w:r w:rsidRPr="00883FC0">
        <w:rPr>
          <w:rFonts w:ascii="Arial" w:hAnsi="Arial" w:cs="Arial"/>
          <w:sz w:val="24"/>
          <w:szCs w:val="24"/>
          <w:lang w:val="en-GB"/>
        </w:rPr>
        <w:t xml:space="preserve">investigate the presence of resistant nematodes </w:t>
      </w:r>
      <w:r w:rsidR="00397857" w:rsidRPr="00883FC0">
        <w:rPr>
          <w:rFonts w:ascii="Arial" w:hAnsi="Arial" w:cs="Arial"/>
          <w:sz w:val="24"/>
          <w:szCs w:val="24"/>
          <w:lang w:val="en-GB"/>
        </w:rPr>
        <w:t>in</w:t>
      </w:r>
      <w:r w:rsidRPr="00883FC0">
        <w:rPr>
          <w:rFonts w:ascii="Arial" w:hAnsi="Arial" w:cs="Arial"/>
          <w:sz w:val="24"/>
          <w:szCs w:val="24"/>
          <w:lang w:val="en-GB"/>
        </w:rPr>
        <w:t xml:space="preserve"> co-grazing wild and domestic ungulates in different contexts</w:t>
      </w:r>
      <w:r w:rsidR="00647E14" w:rsidRPr="00883FC0">
        <w:rPr>
          <w:rFonts w:ascii="Arial" w:hAnsi="Arial" w:cs="Arial"/>
          <w:sz w:val="24"/>
          <w:szCs w:val="24"/>
          <w:lang w:val="en-GB"/>
        </w:rPr>
        <w:t xml:space="preserve"> </w:t>
      </w:r>
      <w:r w:rsidR="00397857" w:rsidRPr="00883FC0">
        <w:rPr>
          <w:rFonts w:ascii="Arial" w:hAnsi="Arial" w:cs="Arial"/>
          <w:sz w:val="24"/>
          <w:szCs w:val="24"/>
          <w:lang w:val="en-GB"/>
        </w:rPr>
        <w:t>(</w:t>
      </w:r>
      <w:r w:rsidRPr="00883FC0">
        <w:rPr>
          <w:rFonts w:ascii="Arial" w:hAnsi="Arial" w:cs="Arial"/>
          <w:sz w:val="24"/>
          <w:szCs w:val="24"/>
          <w:lang w:val="en-GB"/>
        </w:rPr>
        <w:t>i.e., different host species, different landscape</w:t>
      </w:r>
      <w:r w:rsidR="00397857" w:rsidRPr="00883FC0">
        <w:rPr>
          <w:rFonts w:ascii="Arial" w:hAnsi="Arial" w:cs="Arial"/>
          <w:sz w:val="24"/>
          <w:szCs w:val="24"/>
          <w:lang w:val="en-GB"/>
        </w:rPr>
        <w:t>s</w:t>
      </w:r>
      <w:r w:rsidRPr="00883FC0">
        <w:rPr>
          <w:rFonts w:ascii="Arial" w:hAnsi="Arial" w:cs="Arial"/>
          <w:sz w:val="24"/>
          <w:szCs w:val="24"/>
          <w:lang w:val="en-GB"/>
        </w:rPr>
        <w:t>, and under different climatic conditions</w:t>
      </w:r>
      <w:r w:rsidR="00397857" w:rsidRPr="00883FC0">
        <w:rPr>
          <w:rFonts w:ascii="Arial" w:hAnsi="Arial" w:cs="Arial"/>
          <w:sz w:val="24"/>
          <w:szCs w:val="24"/>
          <w:lang w:val="en-GB"/>
        </w:rPr>
        <w:t>)</w:t>
      </w:r>
      <w:r w:rsidRPr="00883FC0">
        <w:rPr>
          <w:rFonts w:ascii="Arial" w:hAnsi="Arial" w:cs="Arial"/>
          <w:sz w:val="24"/>
          <w:szCs w:val="24"/>
          <w:lang w:val="en-GB"/>
        </w:rPr>
        <w:t>.</w:t>
      </w:r>
    </w:p>
    <w:p w14:paraId="036D9C66" w14:textId="4CAA74DF" w:rsidR="00685709" w:rsidRPr="00883FC0" w:rsidRDefault="00685709"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Transhumant pastoralism is a common practice in the European Alps and consists</w:t>
      </w:r>
      <w:r w:rsidR="00643AC4" w:rsidRPr="00883FC0">
        <w:rPr>
          <w:rFonts w:ascii="Arial" w:hAnsi="Arial" w:cs="Arial"/>
          <w:sz w:val="24"/>
          <w:szCs w:val="24"/>
          <w:lang w:val="en-GB"/>
        </w:rPr>
        <w:t xml:space="preserve"> in</w:t>
      </w:r>
      <w:r w:rsidRPr="00883FC0">
        <w:rPr>
          <w:rFonts w:ascii="Arial" w:hAnsi="Arial" w:cs="Arial"/>
          <w:sz w:val="24"/>
          <w:szCs w:val="24"/>
          <w:lang w:val="en-GB"/>
        </w:rPr>
        <w:t xml:space="preserve"> the seasonal </w:t>
      </w:r>
      <w:r w:rsidR="00363B2B" w:rsidRPr="00883FC0">
        <w:rPr>
          <w:rFonts w:ascii="Arial" w:hAnsi="Arial" w:cs="Arial"/>
          <w:sz w:val="24"/>
          <w:szCs w:val="24"/>
          <w:lang w:val="en-GB"/>
        </w:rPr>
        <w:t>movement</w:t>
      </w:r>
      <w:r w:rsidRPr="00883FC0">
        <w:rPr>
          <w:rFonts w:ascii="Arial" w:hAnsi="Arial" w:cs="Arial"/>
          <w:sz w:val="24"/>
          <w:szCs w:val="24"/>
          <w:lang w:val="en-GB"/>
        </w:rPr>
        <w:t xml:space="preserve"> of grazing livestock from lowland area</w:t>
      </w:r>
      <w:r w:rsidR="00363B2B" w:rsidRPr="00883FC0">
        <w:rPr>
          <w:rFonts w:ascii="Arial" w:hAnsi="Arial" w:cs="Arial"/>
          <w:sz w:val="24"/>
          <w:szCs w:val="24"/>
          <w:lang w:val="en-GB"/>
        </w:rPr>
        <w:t>s</w:t>
      </w:r>
      <w:r w:rsidRPr="00883FC0">
        <w:rPr>
          <w:rFonts w:ascii="Arial" w:hAnsi="Arial" w:cs="Arial"/>
          <w:sz w:val="24"/>
          <w:szCs w:val="24"/>
          <w:lang w:val="en-GB"/>
        </w:rPr>
        <w:t xml:space="preserve"> to mountain</w:t>
      </w:r>
      <w:r w:rsidR="00363B2B" w:rsidRPr="00883FC0">
        <w:rPr>
          <w:rFonts w:ascii="Arial" w:hAnsi="Arial" w:cs="Arial"/>
          <w:sz w:val="24"/>
          <w:szCs w:val="24"/>
          <w:lang w:val="en-GB"/>
        </w:rPr>
        <w:t xml:space="preserve"> meadows</w:t>
      </w:r>
      <w:r w:rsidRPr="00883FC0">
        <w:rPr>
          <w:rFonts w:ascii="Arial" w:hAnsi="Arial" w:cs="Arial"/>
          <w:sz w:val="24"/>
          <w:szCs w:val="24"/>
          <w:lang w:val="en-GB"/>
        </w:rPr>
        <w:t xml:space="preserve"> in summer</w:t>
      </w:r>
      <w:r w:rsidR="00363B2B" w:rsidRPr="00883FC0">
        <w:rPr>
          <w:rFonts w:ascii="Arial" w:hAnsi="Arial" w:cs="Arial"/>
          <w:sz w:val="24"/>
          <w:szCs w:val="24"/>
          <w:lang w:val="en-GB"/>
        </w:rPr>
        <w:t xml:space="preserve"> which</w:t>
      </w:r>
      <w:r w:rsidRPr="00883FC0">
        <w:rPr>
          <w:rFonts w:ascii="Arial" w:hAnsi="Arial" w:cs="Arial"/>
          <w:sz w:val="24"/>
          <w:szCs w:val="24"/>
          <w:lang w:val="en-GB"/>
        </w:rPr>
        <w:t xml:space="preserve"> provide fresh pasture for domestic ungulates, i.e., mainly sheep, but also cows or goats </w:t>
      </w:r>
      <w:r w:rsidRPr="00883FC0">
        <w:rPr>
          <w:rFonts w:ascii="Arial" w:hAnsi="Arial" w:cs="Arial"/>
          <w:sz w:val="24"/>
          <w:szCs w:val="24"/>
          <w:lang w:val="en-GB"/>
        </w:rPr>
        <w:fldChar w:fldCharType="begin"/>
      </w:r>
      <w:r w:rsidR="00115EB7" w:rsidRPr="00883FC0">
        <w:rPr>
          <w:rFonts w:ascii="Arial" w:hAnsi="Arial" w:cs="Arial"/>
          <w:sz w:val="24"/>
          <w:szCs w:val="24"/>
          <w:lang w:val="en-GB"/>
        </w:rPr>
        <w:instrText xml:space="preserve"> ADDIN ZOTERO_ITEM CSL_CITATION {"citationID":"ViuQhJdx","properties":{"formattedCitation":"(Biber, 2010)","plainCitation":"(Biber, 2010)","noteIndex":0},"citationItems":[{"id":3581,"uris":["http://zotero.org/users/local/NciqjDvn/items/QE87EU3F"],"itemData":{"id":3581,"type":"article-journal","container-title":"Pastoralism","DOI":"10.3362/2041-7136.2010.006","issue":"1","journalAbbreviation":"Pastoralism","page":"91-98","source":"ResearchGate","title":"Transhumance in France","volume":"1","author":[{"family":"Biber","given":"Jean-Pierre"}],"issued":{"date-parts":[["2010",1,1]]}}}],"schema":"https://github.com/citation-style-language/schema/raw/master/csl-citation.json"}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(Biber, 2010)</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2237AC" w:rsidRPr="002237AC">
        <w:rPr>
          <w:rFonts w:ascii="Arial" w:hAnsi="Arial" w:cs="Arial"/>
          <w:sz w:val="24"/>
          <w:szCs w:val="24"/>
          <w:highlight w:val="yellow"/>
          <w:lang w:val="en-GB"/>
        </w:rPr>
        <w:t>M</w:t>
      </w:r>
      <w:r w:rsidRPr="00883FC0">
        <w:rPr>
          <w:rFonts w:ascii="Arial" w:hAnsi="Arial" w:cs="Arial"/>
          <w:sz w:val="24"/>
          <w:szCs w:val="24"/>
          <w:lang w:val="en-GB"/>
        </w:rPr>
        <w:t>ountain</w:t>
      </w:r>
      <w:r w:rsidR="00363B2B" w:rsidRPr="00883FC0">
        <w:rPr>
          <w:rFonts w:ascii="Arial" w:hAnsi="Arial" w:cs="Arial"/>
          <w:sz w:val="24"/>
          <w:szCs w:val="24"/>
          <w:lang w:val="en-GB"/>
        </w:rPr>
        <w:t>ous</w:t>
      </w:r>
      <w:r w:rsidRPr="00883FC0">
        <w:rPr>
          <w:rFonts w:ascii="Arial" w:hAnsi="Arial" w:cs="Arial"/>
          <w:sz w:val="24"/>
          <w:szCs w:val="24"/>
          <w:lang w:val="en-GB"/>
        </w:rPr>
        <w:t xml:space="preserve"> areas are inhabited</w:t>
      </w:r>
      <w:r w:rsidR="00363B2B" w:rsidRPr="00883FC0">
        <w:rPr>
          <w:rFonts w:ascii="Arial" w:hAnsi="Arial" w:cs="Arial"/>
          <w:sz w:val="24"/>
          <w:szCs w:val="24"/>
          <w:lang w:val="en-GB"/>
        </w:rPr>
        <w:t xml:space="preserve"> year-round</w:t>
      </w:r>
      <w:r w:rsidRPr="00883FC0">
        <w:rPr>
          <w:rFonts w:ascii="Arial" w:hAnsi="Arial" w:cs="Arial"/>
          <w:sz w:val="24"/>
          <w:szCs w:val="24"/>
          <w:lang w:val="en-GB"/>
        </w:rPr>
        <w:t xml:space="preserve"> by wild ungulates, </w:t>
      </w:r>
      <w:r w:rsidR="00363B2B" w:rsidRPr="00883FC0">
        <w:rPr>
          <w:rFonts w:ascii="Arial" w:hAnsi="Arial" w:cs="Arial"/>
          <w:sz w:val="24"/>
          <w:szCs w:val="24"/>
          <w:lang w:val="en-GB"/>
        </w:rPr>
        <w:t>particularly</w:t>
      </w:r>
      <w:r w:rsidRPr="00883FC0">
        <w:rPr>
          <w:rFonts w:ascii="Arial" w:hAnsi="Arial" w:cs="Arial"/>
          <w:sz w:val="24"/>
          <w:szCs w:val="24"/>
          <w:lang w:val="en-GB"/>
        </w:rPr>
        <w:t xml:space="preserve"> those living at high </w:t>
      </w:r>
      <w:r w:rsidR="00363B2B" w:rsidRPr="00883FC0">
        <w:rPr>
          <w:rFonts w:ascii="Arial" w:hAnsi="Arial" w:cs="Arial"/>
          <w:sz w:val="24"/>
          <w:szCs w:val="24"/>
          <w:lang w:val="en-GB"/>
        </w:rPr>
        <w:t>altitude</w:t>
      </w:r>
      <w:r w:rsidRPr="00883FC0">
        <w:rPr>
          <w:rFonts w:ascii="Arial" w:hAnsi="Arial" w:cs="Arial"/>
          <w:sz w:val="24"/>
          <w:szCs w:val="24"/>
          <w:lang w:val="en-GB"/>
        </w:rPr>
        <w:t xml:space="preserve"> in the European Alps, like Alpine ibex (</w:t>
      </w:r>
      <w:r w:rsidRPr="00883FC0">
        <w:rPr>
          <w:rFonts w:ascii="Arial" w:hAnsi="Arial" w:cs="Arial"/>
          <w:i/>
          <w:sz w:val="24"/>
          <w:szCs w:val="24"/>
          <w:lang w:val="en-GB"/>
        </w:rPr>
        <w:t>Capra ibex</w:t>
      </w:r>
      <w:r w:rsidRPr="00883FC0">
        <w:rPr>
          <w:rFonts w:ascii="Arial" w:hAnsi="Arial" w:cs="Arial"/>
          <w:sz w:val="24"/>
          <w:szCs w:val="24"/>
          <w:lang w:val="en-GB"/>
        </w:rPr>
        <w:t>),</w:t>
      </w:r>
      <w:r w:rsidR="00363B2B" w:rsidRPr="00883FC0">
        <w:rPr>
          <w:rFonts w:ascii="Arial" w:hAnsi="Arial" w:cs="Arial"/>
          <w:sz w:val="24"/>
          <w:szCs w:val="24"/>
          <w:lang w:val="en-GB"/>
        </w:rPr>
        <w:t xml:space="preserve"> or</w:t>
      </w:r>
      <w:r w:rsidRPr="00883FC0">
        <w:rPr>
          <w:rFonts w:ascii="Arial" w:hAnsi="Arial" w:cs="Arial"/>
          <w:sz w:val="24"/>
          <w:szCs w:val="24"/>
          <w:lang w:val="en-GB"/>
        </w:rPr>
        <w:t xml:space="preserve"> Northern chamois (</w:t>
      </w:r>
      <w:r w:rsidRPr="00883FC0">
        <w:rPr>
          <w:rFonts w:ascii="Arial" w:hAnsi="Arial" w:cs="Arial"/>
          <w:i/>
          <w:sz w:val="24"/>
          <w:szCs w:val="24"/>
          <w:lang w:val="en-GB"/>
        </w:rPr>
        <w:t>Rupicapra rupicapra</w:t>
      </w:r>
      <w:r w:rsidRPr="00883FC0">
        <w:rPr>
          <w:rFonts w:ascii="Arial" w:hAnsi="Arial" w:cs="Arial"/>
          <w:sz w:val="24"/>
          <w:szCs w:val="24"/>
          <w:lang w:val="en-GB"/>
        </w:rPr>
        <w:t>). While wild ungulates tend to</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spatially or temporarily</w:t>
      </w:r>
      <w:r w:rsidRPr="00883FC0">
        <w:rPr>
          <w:rFonts w:ascii="Arial" w:hAnsi="Arial" w:cs="Arial"/>
          <w:sz w:val="24"/>
          <w:szCs w:val="24"/>
          <w:lang w:val="en-GB"/>
        </w:rPr>
        <w:t xml:space="preserve"> avoid domestic herds</w:t>
      </w:r>
      <w:r w:rsidR="00363B2B" w:rsidRPr="00883FC0">
        <w:rPr>
          <w:rFonts w:ascii="Arial" w:hAnsi="Arial" w:cs="Arial"/>
          <w:sz w:val="24"/>
          <w:szCs w:val="24"/>
          <w:lang w:val="en-GB"/>
        </w:rPr>
        <w:t xml:space="preserve"> </w:t>
      </w:r>
      <w:r w:rsidRPr="00883FC0">
        <w:rPr>
          <w:rFonts w:ascii="Arial" w:hAnsi="Arial" w:cs="Arial"/>
          <w:sz w:val="24"/>
          <w:szCs w:val="24"/>
          <w:lang w:val="en-GB"/>
        </w:rPr>
        <w:t xml:space="preserve">during the summer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{"citationID":"XSHxL5Id","properties":{"formattedCitation":"(Acevedo et al., 2008)","plainCitation":"(Acevedo et al., 2008)","noteIndex":0},"citationItems":[{"id":2208,"uris":["http://zotero.org/users/local/NciqjDvn/items/D44NCG7L"],"itemData":{"id":2208,"type":"chapter","abstract":"In this paper an updated distribution of the Iberian ibex (Capra pyrenaica, Schinz 1838) in the central Spanish region of Castile–La Mancha is shown. The species is present in 19% of the study region, and in areas not cited so far in the literature. A detailed analysis of habitat suitability was also carried out, applying a new methodology, Ecological-Niche Factor Analysis, which uses presence data to build a habitat suitability map of a given species. As livestock activity is quite intense in the region, the presence of a potential competitor, the domestic goat (Capra hircus), was included in the analyses. Factors affecting ibex relative abundance were determined by means of a nested stepwise multiple regression, where livestock presence/absence was the nested factor. The presence of livestock has a negative effect on ibex relative abundance, causing the ibex to select areas of poor, sparse vegetation, cultivated lands and forests, whereas in the absence of livestock, the ibex is mainly present in pasture–scrub lands and non-cultivated lands. Conservation implications of these results are discussed in the context of a Mediterranean region where extensive livestock grazing systems abound.","collection-title":"Topics in Biodiversity and Conservation","container-title":"Biodiversity and Conservation in Europe","event-place":"Dordrecht","ISBN":"978-1-4020-6865-2","language":"en","note":"DOI: 10.1007/978-1-4020-6865-2_9","page":"119-134","publisher":"Springer Netherlands","publisher-place":"Dordrecht","source":"Springer Link","title":"The Iberian ibex is under an expansion trend but displaced to suboptimal habitats by the presence of extensive goat livestock in central Spain","URL":"https://doi.org/10.1007/978-1-4020-6865-2_9","author":[{"family":"Acevedo","given":"Pelayo"},{"family":"Cassinello","given":"Jorge"},{"family":"Gortazar","given":"Christian"}],"editor":[{"family":"Hawksworth","given":"David L."},{"family":"Bull","given":"Alan T."}],"accessed":{"date-parts":[["2021",9,19]]},"issued":{"date-parts":[["2008"]]}}}],"schema":"https://github.com/citation-style-language/schema/raw/master/csl-citation.json"}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(Acevedo et al., 2008)</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363B2B" w:rsidRPr="00883FC0">
        <w:rPr>
          <w:rFonts w:ascii="Arial" w:hAnsi="Arial" w:cs="Arial"/>
          <w:sz w:val="24"/>
          <w:szCs w:val="24"/>
          <w:lang w:val="en-GB"/>
        </w:rPr>
        <w:t>certain</w:t>
      </w:r>
      <w:r w:rsidRPr="00883FC0">
        <w:rPr>
          <w:rFonts w:ascii="Arial" w:hAnsi="Arial" w:cs="Arial"/>
          <w:sz w:val="24"/>
          <w:szCs w:val="24"/>
          <w:lang w:val="en-GB"/>
        </w:rPr>
        <w:t xml:space="preserve"> factors may contribute to </w:t>
      </w:r>
      <w:r w:rsidRPr="002237AC">
        <w:rPr>
          <w:rFonts w:ascii="Arial" w:hAnsi="Arial" w:cs="Arial"/>
          <w:sz w:val="24"/>
          <w:szCs w:val="24"/>
          <w:highlight w:val="yellow"/>
          <w:lang w:val="en-GB"/>
        </w:rPr>
        <w:t>the</w:t>
      </w:r>
      <w:r w:rsidR="002237AC" w:rsidRPr="002237AC">
        <w:rPr>
          <w:rFonts w:ascii="Arial" w:hAnsi="Arial" w:cs="Arial"/>
          <w:sz w:val="24"/>
          <w:szCs w:val="24"/>
          <w:highlight w:val="yellow"/>
          <w:lang w:val="en-GB"/>
        </w:rPr>
        <w:t>ir</w:t>
      </w:r>
      <w:r w:rsidRPr="00883FC0">
        <w:rPr>
          <w:rFonts w:ascii="Arial" w:hAnsi="Arial" w:cs="Arial"/>
          <w:sz w:val="24"/>
          <w:szCs w:val="24"/>
          <w:lang w:val="en-GB"/>
        </w:rPr>
        <w:t xml:space="preserve"> use of the same</w:t>
      </w:r>
      <w:r w:rsidR="00363B2B" w:rsidRPr="00883FC0">
        <w:rPr>
          <w:rFonts w:ascii="Arial" w:hAnsi="Arial" w:cs="Arial"/>
          <w:sz w:val="24"/>
          <w:szCs w:val="24"/>
          <w:lang w:val="en-GB"/>
        </w:rPr>
        <w:t xml:space="preserve"> pastures</w:t>
      </w:r>
      <w:r w:rsidRPr="00883FC0">
        <w:rPr>
          <w:rFonts w:ascii="Arial" w:hAnsi="Arial" w:cs="Arial"/>
          <w:sz w:val="24"/>
          <w:szCs w:val="24"/>
          <w:lang w:val="en-GB"/>
        </w:rPr>
        <w:t xml:space="preserve">. </w:t>
      </w:r>
    </w:p>
    <w:p w14:paraId="1F15A9BB" w14:textId="5AB8775B" w:rsidR="00685709" w:rsidRPr="00883FC0" w:rsidRDefault="00685709" w:rsidP="00A0712B">
      <w:pPr>
        <w:spacing w:after="0" w:line="360" w:lineRule="auto"/>
        <w:ind w:firstLine="360"/>
        <w:jc w:val="both"/>
        <w:rPr>
          <w:rFonts w:ascii="Arial" w:hAnsi="Arial" w:cs="Arial"/>
          <w:sz w:val="24"/>
          <w:szCs w:val="24"/>
        </w:rPr>
      </w:pPr>
      <w:r w:rsidRPr="00883FC0">
        <w:rPr>
          <w:rFonts w:ascii="Arial" w:hAnsi="Arial" w:cs="Arial"/>
          <w:sz w:val="24"/>
          <w:szCs w:val="24"/>
          <w:lang w:val="en-GB"/>
        </w:rPr>
        <w:t xml:space="preserve">Spatial segregation between wild and domestic ungulates </w:t>
      </w:r>
      <w:r w:rsidR="00363B2B" w:rsidRPr="00883FC0">
        <w:rPr>
          <w:rFonts w:ascii="Arial" w:hAnsi="Arial" w:cs="Arial"/>
          <w:sz w:val="24"/>
          <w:szCs w:val="24"/>
          <w:lang w:val="en-GB"/>
        </w:rPr>
        <w:t xml:space="preserve">is </w:t>
      </w:r>
      <w:r w:rsidRPr="00883FC0">
        <w:rPr>
          <w:rFonts w:ascii="Arial" w:hAnsi="Arial" w:cs="Arial"/>
          <w:sz w:val="24"/>
          <w:szCs w:val="24"/>
          <w:lang w:val="en-GB"/>
        </w:rPr>
        <w:t xml:space="preserve">usually observed once livestock arrive on pasture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{"citationID":"9PjBuHa2","properties":{"formattedCitation":"(Brivio et al., 2022; Ryser-Degiorgis et al., 2002)","plainCitation":"(Brivio et al., 2022; Ryser-Degiorgis et al., 2002)","noteIndex":0},"citationItems":[{"id":3959,"uris":["http://zotero.org/users/local/NciqjDvn/items/73XMWVW7"],"itemData":{"id":3959,"type":"article-journal","abstract":"The conflict between free-ranging livestock and wildlife is a serious conservation concern across rural communities worldwide. Livestock may affect wild herbivores via direct competition for resources due to spatial and diet overlap or via behavioural interference. It is imperative that we disentangle the effects of livestock on wildlife behaviour to obtain an empirical basis able to stir management and conservation decisions. Here, we studied the effect of livestock presence on the habitat selection in a free-ranging European mouflon (Ovis aries musimon) population in Sardinia, where the species is under strict protection. We collected spatial data on mouflon and livestock during two consecutive years to investigate whether the mouflon selection of key feeding grassland sites was negatively impacted by the livestock presence. We found that mouflon preferably selected grassland, and its selection significantly increased when grass was of better quality (greener). We showed that livestock presence led to the displacement of mouflon from such preferred feeding sites, an effect clearly exacerbated by livestock proximity. We indeed found that the selection of grassland by mouflon dropped significantly when the distance between livestock and mouflon was below ~ 650 m, providing a useful management threshold indication. Livestock presence in close proximity displaced mouflon to sub-optimal habitat, and its effects may have negative impact on the population dynamic of this species which is already characterized by low female productivity within harsh Mediterranean environment. Our results give clear management indications aimed at better managing livestock grazing within natural areas to ultimately improve wildlife conservation.","container-title":"European Journal of Wildlife Research","DOI":"10.1007/s10344-022-01581-y","ISSN":"1439-0574","issue":"3","journalAbbreviation":"Eur J Wildl Res","language":"en","page":"30","source":"Springer Link","title":"Livestock displace European mouflon from optimal foraging sites","volume":"68","author":[{"family":"Brivio","given":"Francesca"},{"family":"Ciuti","given":"Simone"},{"family":"Pipia","given":"Anna"},{"family":"Grignolio","given":"Stefano"},{"family":"Apollonio","given":"Marco"}],"issued":{"date-parts":[["2022",4,27]]}}},{"id":3619,"uris":["http://zotero.org/users/local/NciqjDvn/items/CRALZSMA"],"itemData":{"id":3619,"type":"article-journal","abstract":"Abstract \n Information regarding spatio-temporal relationships and encounters of sympatric domestic sheep, Alpine ibex ( Capra ibex ibex ) and Alpine chamois ( Rupicapra rupicapra rupicapra ) in the Swiss Alps were systematically registered to evaluate the possibility of an interspecific...","container-title":"Hystrix, the Italian Journal of Mammalogy","DOI":"10.4404/hystrix-13.1-2-4180","ISSN":"0394-1914, 1825-5272","issue":"1-2","journalAbbreviation":"Hystrix It. J. Mamm.","language":"english","note":"publisher: Associazione Teriologica Italiana","source":"www.italian-journal-of-mammalogy.it","title":"Encounters between Alpine ibex, Alpine chamois and domestic sheep in the Swiss Alps","URL":"http://www.italian-journal-of-mammalogy.it/Encounters-between-Alpine-ibex-Alpine-chamois-and-domestic-sheep-in-the-Swiss-Alps,77615,0,2.html","volume":"13","author":[{"family":"Ryser-Degiorgis","given":"Marie-Pierre"},{"family":"Ingold","given":"Paul"},{"family":"Tenhu","given":"Hanna"},{"family":"Less","given":"Ana Marìa Tébar"},{"family":"Ryser","given":"Andreas"},{"family":"Giacometti","given":"Marco"}],"accessed":{"date-parts":[["2022",12,29]]},"issued":{"date-parts":[["2002",12,20]]}}}],"schema":"https://github.com/citation-style-language/schema/raw/master/csl-citation.json"}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(Brivio et al., 2022; Ryser-Degiorgis et al., 2002)</w:t>
      </w:r>
      <w:r w:rsidRPr="00883FC0">
        <w:rPr>
          <w:rFonts w:ascii="Arial" w:hAnsi="Arial" w:cs="Arial"/>
          <w:sz w:val="24"/>
          <w:szCs w:val="24"/>
          <w:lang w:val="en-GB"/>
        </w:rPr>
        <w:fldChar w:fldCharType="end"/>
      </w:r>
      <w:r w:rsidRPr="00883FC0">
        <w:rPr>
          <w:rFonts w:ascii="Arial" w:hAnsi="Arial" w:cs="Arial"/>
          <w:sz w:val="24"/>
          <w:szCs w:val="24"/>
          <w:lang w:val="en-GB"/>
        </w:rPr>
        <w:t>. Livestock are generally released on</w:t>
      </w:r>
      <w:r w:rsidR="00363B2B" w:rsidRPr="00883FC0">
        <w:rPr>
          <w:rFonts w:ascii="Arial" w:hAnsi="Arial" w:cs="Arial"/>
          <w:sz w:val="24"/>
          <w:szCs w:val="24"/>
          <w:lang w:val="en-GB"/>
        </w:rPr>
        <w:t>to</w:t>
      </w:r>
      <w:r w:rsidRPr="00883FC0">
        <w:rPr>
          <w:rFonts w:ascii="Arial" w:hAnsi="Arial" w:cs="Arial"/>
          <w:sz w:val="24"/>
          <w:szCs w:val="24"/>
          <w:lang w:val="en-GB"/>
        </w:rPr>
        <w:t xml:space="preserve"> the best grazing areas during the summer season </w:t>
      </w:r>
      <w:r w:rsidRPr="00883FC0">
        <w:rPr>
          <w:rFonts w:ascii="Arial" w:hAnsi="Arial" w:cs="Arial"/>
          <w:sz w:val="24"/>
          <w:szCs w:val="24"/>
          <w:lang w:val="en-GB"/>
        </w:rPr>
        <w:fldChar w:fldCharType="begin"/>
      </w:r>
      <w:r w:rsidR="00115EB7" w:rsidRPr="00883FC0">
        <w:rPr>
          <w:rFonts w:ascii="Arial" w:hAnsi="Arial" w:cs="Arial"/>
          <w:sz w:val="24"/>
          <w:szCs w:val="24"/>
          <w:lang w:val="en-GB"/>
        </w:rPr>
        <w:instrText xml:space="preserve"> ADDIN ZOTERO_ITEM CSL_CITATION {"citationID":"FuWQLK3O","properties":{"formattedCitation":"(Chirichella et al., 2014; Richomme et al., 2006; Ryser-Degiorgis et al., 2002)","plainCitation":"(Chirichella et al., 2014; Richomme et al., 2006; Ryser-Degiorgis et al., 2002)","noteIndex":0},"citationItems":[{"id":3919,"uris":["http://zotero.org/users/local/NciqjDvn/items/42ZJ8RZ2"],"itemData":{"id":3919,"type":"chapter","container-title":"Behaviour and management of european ungulates","ISBN":"978-1-84995-122-7","page":"110-123","source":"ResearchGate","title":"Competition between domestic and wild Ungulates.","author":[{"family":"Chirichella","given":"Roberta"},{"family":"Apollonio","given":"Marco"},{"family":"Putman","given":"Rory"}],"editor":[{"family":"Putman","given":"Rory"},{"family":"Apollonio","given":"Marco"}],"issued":{"date-parts":[["2014",1,1]]}}},{"id":3621,"uris":["http://zotero.org/users/local/NciqjDvn/items/TQ4JFHKX"],"itemData":{"id":3621,"type":"article-journal","abstract":"The risk for a pathogen to cross the species barrier depends on the rate of efficient contacts between the species. However, contact rates between species have rarely been estimated from observations. Here we estimate contact rates and exposure of chamois Rupicapra rupicapra and Alpine ibex Capra ibex exposed to domestic pasteurellosis and brucellosis carried by sheep or cattle herds summering in mountain pastures. We use field observation data on animal positions treated in a geographic information system (GIS). Comparing 10 pastures, we show that the management of domestic herds influences the risk of inter-species transmission. Exposure to direct transmission of pasteurellosis is high when herds are not guarded nor enclosed, whereas exposure to indirect transmission of brucellosis is increased on epidemiological dangerous points such as salt deposits. Our preliminary results need further investigation, but they underline the importance of both herd management and pathogen transmission mode when the aim is to reduce the risk of contamination of wild populations by a pathogen associated with domestic pathogens.","container-title":"Epidemiology &amp; Infection","DOI":"10.1017/S0950268805004693","ISSN":"1469-4409, 0950-2688","issue":"1","language":"en","note":"publisher: Cambridge University Press","page":"21-30","source":"Cambridge University Press","title":"Contact rates and exposure to inter-species disease transmission in mountain ungulates","volume":"134","author":[{"family":"Richomme","given":"C."},{"family":"Gauthier","given":"D."},{"</w:instrText>
      </w:r>
      <w:r w:rsidR="00115EB7" w:rsidRPr="00883FC0">
        <w:rPr>
          <w:rFonts w:ascii="Arial" w:hAnsi="Arial" w:cs="Arial"/>
          <w:sz w:val="24"/>
          <w:szCs w:val="24"/>
        </w:rPr>
        <w:instrText xml:space="preserve">family":"Fromont","given":"E."}],"issued":{"date-parts":[["2006",2]]}}},{"id":3619,"uris":["http://zotero.org/users/local/NciqjDvn/items/CRALZSMA"],"itemData":{"id":3619,"type":"article-journal","abstract":"Abstract \n Information regarding spatio-temporal relationships and encounters of sympatric domestic sheep, Alpine ibex ( Capra ibex ibex ) and Alpine chamois ( Rupicapra rupicapra rupicapra ) in the Swiss Alps were systematically registered to evaluate the possibility of an interspecific...","container-title":"Hystrix, the Italian Journal of Mammalogy","DOI":"10.4404/hystrix-13.1-2-4180","ISSN":"0394-1914, 1825-5272","issue":"1-2","journalAbbreviation":"Hystrix It. J. Mamm.","language":"english","note":"publisher: Associazione Teriologica Italiana","source":"www.italian-journal-of-mammalogy.it","title":"Encounters between Alpine ibex, Alpine chamois and domestic sheep in the Swiss Alps","URL":"http://www.italian-journal-of-mammalogy.it/Encounters-between-Alpine-ibex-Alpine-chamois-and-domestic-sheep-in-the-Swiss-Alps,77615,0,2.html","volume":"13","author":[{"family":"Ryser-Degiorgis","given":"Marie-Pierre"},{"family":"Ingold","given":"Paul"},{"family":"Tenhu","given":"Hanna"},{"family":"Less","given":"Ana Marìa Tébar"},{"family":"Ryser","given":"Andreas"},{"family":"Giacometti","given":"Marco"}],"accessed":{"date-parts":[["2022",12,29]]},"issued":{"date-parts":[["2002",12,20]]}}}],"schema":"https://github.com/citation-style-language/schema/raw/master/csl-citation.json"}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rPr>
        <w:t>(Chirichella et al., 2014; Richomme et al., 2006; Ryser-Degiorgis et al., 2002)</w:t>
      </w:r>
      <w:r w:rsidRPr="00883FC0">
        <w:rPr>
          <w:rFonts w:ascii="Arial" w:hAnsi="Arial" w:cs="Arial"/>
          <w:sz w:val="24"/>
          <w:szCs w:val="24"/>
          <w:lang w:val="en-GB"/>
        </w:rPr>
        <w:fldChar w:fldCharType="end"/>
      </w:r>
      <w:r w:rsidRPr="00883FC0">
        <w:rPr>
          <w:rFonts w:ascii="Arial" w:hAnsi="Arial" w:cs="Arial"/>
          <w:sz w:val="24"/>
          <w:szCs w:val="24"/>
        </w:rPr>
        <w:t xml:space="preserve">. </w:t>
      </w:r>
      <w:r w:rsidR="00647E14" w:rsidRPr="00883FC0">
        <w:rPr>
          <w:rFonts w:ascii="Arial" w:hAnsi="Arial" w:cs="Arial"/>
          <w:sz w:val="24"/>
          <w:szCs w:val="24"/>
          <w:lang w:val="en-US"/>
        </w:rPr>
        <w:t>M</w:t>
      </w:r>
      <w:proofErr w:type="spellStart"/>
      <w:r w:rsidRPr="00883FC0">
        <w:rPr>
          <w:rFonts w:ascii="Arial" w:hAnsi="Arial" w:cs="Arial"/>
          <w:sz w:val="24"/>
          <w:szCs w:val="24"/>
          <w:lang w:val="en-GB"/>
        </w:rPr>
        <w:t>ountain</w:t>
      </w:r>
      <w:proofErr w:type="spellEnd"/>
      <w:r w:rsidRPr="00883FC0">
        <w:rPr>
          <w:rFonts w:ascii="Arial" w:hAnsi="Arial" w:cs="Arial"/>
          <w:sz w:val="24"/>
          <w:szCs w:val="24"/>
          <w:lang w:val="en-GB"/>
        </w:rPr>
        <w:t xml:space="preserve"> ungulates </w:t>
      </w:r>
      <w:r w:rsidR="00363B2B" w:rsidRPr="00883FC0">
        <w:rPr>
          <w:rFonts w:ascii="Arial" w:hAnsi="Arial" w:cs="Arial"/>
          <w:sz w:val="24"/>
          <w:szCs w:val="24"/>
          <w:lang w:val="en-GB"/>
        </w:rPr>
        <w:t>have been observed</w:t>
      </w:r>
      <w:r w:rsidRPr="00883FC0">
        <w:rPr>
          <w:rFonts w:ascii="Arial" w:hAnsi="Arial" w:cs="Arial"/>
          <w:sz w:val="24"/>
          <w:szCs w:val="24"/>
          <w:lang w:val="en-GB"/>
        </w:rPr>
        <w:t xml:space="preserve"> </w:t>
      </w:r>
      <w:r w:rsidR="00643AC4" w:rsidRPr="00883FC0">
        <w:rPr>
          <w:rFonts w:ascii="Arial" w:hAnsi="Arial" w:cs="Arial"/>
          <w:sz w:val="24"/>
          <w:szCs w:val="24"/>
          <w:lang w:val="en-GB"/>
        </w:rPr>
        <w:t xml:space="preserve">to </w:t>
      </w:r>
      <w:r w:rsidRPr="00883FC0">
        <w:rPr>
          <w:rFonts w:ascii="Arial" w:hAnsi="Arial" w:cs="Arial"/>
          <w:sz w:val="24"/>
          <w:szCs w:val="24"/>
          <w:lang w:val="en-GB"/>
        </w:rPr>
        <w:t>preferentially</w:t>
      </w:r>
      <w:r w:rsidR="00643AC4" w:rsidRPr="00883FC0">
        <w:rPr>
          <w:rFonts w:ascii="Arial" w:hAnsi="Arial" w:cs="Arial"/>
          <w:sz w:val="24"/>
          <w:szCs w:val="24"/>
          <w:lang w:val="en-GB"/>
        </w:rPr>
        <w:t xml:space="preserve"> use</w:t>
      </w:r>
      <w:r w:rsidRPr="00883FC0">
        <w:rPr>
          <w:rFonts w:ascii="Arial" w:hAnsi="Arial" w:cs="Arial"/>
          <w:sz w:val="24"/>
          <w:szCs w:val="24"/>
          <w:lang w:val="en-GB"/>
        </w:rPr>
        <w:t xml:space="preserve"> the same grazing areas </w:t>
      </w:r>
      <w:r w:rsidR="00643AC4" w:rsidRPr="00883FC0">
        <w:rPr>
          <w:rFonts w:ascii="Arial" w:hAnsi="Arial" w:cs="Arial"/>
          <w:sz w:val="24"/>
          <w:szCs w:val="24"/>
          <w:lang w:val="en-GB"/>
        </w:rPr>
        <w:t>both before and after</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livestock</w:t>
      </w:r>
      <w:r w:rsidR="00643AC4" w:rsidRPr="00883FC0">
        <w:rPr>
          <w:rFonts w:ascii="Arial" w:hAnsi="Arial" w:cs="Arial"/>
          <w:sz w:val="24"/>
          <w:szCs w:val="24"/>
          <w:lang w:val="en-GB"/>
        </w:rPr>
        <w:t xml:space="preserve"> use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{"citationID":"YOulADAq","properties":{"formattedCitation":"(Brivio et al., 2022; Ryser-Degiorgis et al., 2002)","plainCitation":"(Brivio et al., 2022; Ryser-Degiorgis et al., 2002)","noteIndex":0},"citationItems":[{"id":3959,"uris":["http://zotero.org/users/local/NciqjDvn/items/73XMWVW7"],"itemData":{"id":3959,"type":"article-journal","abstract":"The conflict between free-ranging livestock and wildlife is a serious conservation concern across rural communities worldwide. Livestock may affect wild herbivores via direct competition for resources due to spatial and diet overlap or via behavioural interference. It is imperative that we disentangle the effects of livestock on wildlife behaviour to obtain an empirical basis able to stir management and conservation decisions. Here, we studied the effect of livestock presence on the habitat selection in a free-ranging European mouflon (Ovis aries musimon) population in Sardinia, where the species is under strict protection. We collected spatial data on mouflon and livestock during two consecutive years to investigate whether the mouflon selection of key feeding grassland sites was negatively impacted by the livestock presence. We found that mouflon preferably selected grassland, and its selection significantly increased when grass was of better quality (greener). We showed that livestock presence led to the displacement of mouflon from such preferred feeding sites, an effect clearly exacerbated by livestock proximity. We indeed found that the selection of grassland by mouflon dropped significantly when the distance between livestock and mouflon was below ~ 650 m, providing a useful management threshold indication. Livestock presence in close proximity displaced mouflon to sub-optimal habitat, and its effects may have negative impact on the population dynamic of this species which is already characterized by low female productivity within harsh Mediterranean environment. Our results give clear management indications aimed at better managing livestock grazing within natural areas to ultimately improve wildlife conservation.","container-title":"European Journal of Wildlife Research","DOI":"10.1007/s10344-022-01581-y","ISSN":"1439-0574","issue":"3","journalAbbreviation":"Eur J Wildl Res","language":"en","page":"30","source":"Springer Link","title":"Livestock displace European mouflon from optimal foraging sites","volume":"68","author":[{"family":"Brivio","given":"Francesca"},{"family":"Ciuti","given":"Simone"},{"family":"Pipia","given":"Anna"},{"family":"Grignolio","given":"Stefano"},{"family":"Apollonio","given":"Marco"}],"issued":{"date-parts":[["2022",4,27]]}}},{"id":3619,"uris":["http://zotero.org/users/local/NciqjDvn/items/CRALZSMA"],"itemData":{"id":3619,"type":"article-journal","abstract":"Abstract \n Information regarding spatio-temporal relationships and encounters of sympatric domestic sheep, Alpine ibex ( Capra ibex ibex ) and Alpine chamois ( Rupicapra rupicapra rupicapra ) in the Swiss Alps were systematically registered to evaluate the possibility of an interspecific...","container-title":"Hystrix, the Italian Journal of Mammalogy","DOI":"10.4404/hystrix-13.1-2-4180","ISSN":"0394-1914, 1825-5272","issue":"1-2","journalAbbreviation":"Hystrix It. J. Mamm.","language":"english","note":"publisher: Associazione Teriologica Italiana","source":"www.italian-journal-of-mammalogy.it","title":"Encounters between Alpine ibex, Alpine chamois and domestic sheep in the Swiss Alps","URL":"http://www.italian-journal-of-mammalogy.it/Encounters-between-Alpine-ibex-Alpine-chamois-and-domestic-sheep-in-the-Swiss-Alps,77615,0,2.html","volume":"13","author":[{"family":"Ryser-Degiorgis","given":"Marie-Pierre"},{"family":"Ingold","given":"Paul"},{"family":"Tenhu","given":"Hanna"},{"family":"Less","given":"Ana Marìa Tébar"},{"family":"Ryser","given":"Andreas"},{"family":"Giacometti","given":"Marco"}],"accessed":{"date-parts":[["2022",12,29]]},"issued":{"date-parts":[["2002",12,20]]}}}],"schema":"https://github.com/citation-style-language/schema/raw/master/csl-citation.json"}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(Brivio et al., 2022; Ryser-Degiorgis et al., 2002)</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Pr="00883FC0">
        <w:rPr>
          <w:rFonts w:ascii="Arial" w:hAnsi="Arial" w:cs="Arial"/>
          <w:sz w:val="24"/>
          <w:szCs w:val="24"/>
          <w:lang w:val="en-GB"/>
        </w:rPr>
        <w:lastRenderedPageBreak/>
        <w:t xml:space="preserve">The presence of wild and domestic ungulates in attracting </w:t>
      </w:r>
      <w:r w:rsidR="0055134E" w:rsidRPr="00883FC0">
        <w:rPr>
          <w:rFonts w:ascii="Arial" w:hAnsi="Arial" w:cs="Arial"/>
          <w:sz w:val="24"/>
          <w:szCs w:val="24"/>
          <w:lang w:val="en-GB"/>
        </w:rPr>
        <w:t>zones</w:t>
      </w:r>
      <w:r w:rsidRPr="00883FC0">
        <w:rPr>
          <w:rFonts w:ascii="Arial" w:hAnsi="Arial" w:cs="Arial"/>
          <w:sz w:val="24"/>
          <w:szCs w:val="24"/>
          <w:lang w:val="en-GB"/>
        </w:rPr>
        <w:t xml:space="preserve"> such as salt licks, even </w:t>
      </w:r>
      <w:r w:rsidR="0055134E" w:rsidRPr="00883FC0">
        <w:rPr>
          <w:rFonts w:ascii="Arial" w:hAnsi="Arial" w:cs="Arial"/>
          <w:sz w:val="24"/>
          <w:szCs w:val="24"/>
          <w:lang w:val="en-GB"/>
        </w:rPr>
        <w:t>if</w:t>
      </w:r>
      <w:r w:rsidRPr="00883FC0">
        <w:rPr>
          <w:rFonts w:ascii="Arial" w:hAnsi="Arial" w:cs="Arial"/>
          <w:sz w:val="24"/>
          <w:szCs w:val="24"/>
          <w:lang w:val="en-GB"/>
        </w:rPr>
        <w:t xml:space="preserve"> not simultaneous, </w:t>
      </w:r>
      <w:r w:rsidR="0055134E" w:rsidRPr="00883FC0">
        <w:rPr>
          <w:rFonts w:ascii="Arial" w:hAnsi="Arial" w:cs="Arial"/>
          <w:sz w:val="24"/>
          <w:szCs w:val="24"/>
          <w:lang w:val="en-GB"/>
        </w:rPr>
        <w:t>offers</w:t>
      </w:r>
      <w:r w:rsidRPr="00883FC0">
        <w:rPr>
          <w:rFonts w:ascii="Arial" w:hAnsi="Arial" w:cs="Arial"/>
          <w:sz w:val="24"/>
          <w:szCs w:val="24"/>
          <w:lang w:val="en-GB"/>
        </w:rPr>
        <w:t xml:space="preserve"> </w:t>
      </w:r>
      <w:r w:rsidR="002237AC" w:rsidRPr="002237AC">
        <w:rPr>
          <w:rFonts w:ascii="Arial" w:hAnsi="Arial" w:cs="Arial"/>
          <w:sz w:val="24"/>
          <w:szCs w:val="24"/>
          <w:highlight w:val="yellow"/>
          <w:lang w:val="en-GB"/>
        </w:rPr>
        <w:t>ample</w:t>
      </w:r>
      <w:r w:rsidRPr="00883FC0">
        <w:rPr>
          <w:rFonts w:ascii="Arial" w:hAnsi="Arial" w:cs="Arial"/>
          <w:sz w:val="24"/>
          <w:szCs w:val="24"/>
          <w:lang w:val="en-GB"/>
        </w:rPr>
        <w:t xml:space="preserve"> opportunities for parasite transmission</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Therefore,</w:t>
      </w:r>
      <w:r w:rsidRPr="00883FC0">
        <w:rPr>
          <w:rFonts w:ascii="Arial" w:hAnsi="Arial" w:cs="Arial"/>
          <w:sz w:val="24"/>
          <w:szCs w:val="24"/>
          <w:lang w:val="en-GB"/>
        </w:rPr>
        <w:t xml:space="preserve"> these areas are considered hotspots for parasite infection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{"citationID":"a114dnkem72","properties":{"formattedCitation":"(Richomme et al., 2006; Ryser-Degiorgis et al., 2002; Utaaker et al., 2023)","plainCitation":"(Richomme et al., 2006; Ryser-Degiorgis et al., 2002; Utaaker et al., 2023)","noteIndex":0},"citationItems":[{"id":3621,"uris":["http://zotero.org/users/local/NciqjDvn/items/TQ4JFHKX"],"itemData":{"id":3621,"type":"article-journal","abstract":"The risk for a pathogen to cross the species barrier depends on the rate of efficient contacts between the species. However, contact rates between species have rarely been estimated from observations. Here we estimate contact rates and exposure of chamois Rupicapra rupicapra and Alpine ibex Capra ibex exposed to domestic pasteurellosis and brucellosis carried by sheep or cattle herds summering in mountain pastures. We use field observation data on animal positions treated in a geographic information system (GIS). Comparing 10 pastures, we show that the management of domestic herds influences the risk of inter-species transmission. Exposure to direct transmission of pasteurellosis is high when herds are not guarded nor enclosed, whereas exposure to indirect transmission of brucellosis is increased on epidemiological dangerous points such as salt deposits. Our preliminary results need further investigation, but they underline the importance of both herd management and pathogen transmission mode when the aim is to reduce the risk of contamination of wild populations by a pathogen associated with domestic pathogens.","container-title":"Epidemiology &amp; Infection","DOI":"10.1017/S0950268805004693","ISSN":"1469-4409, 0950-2688","issue":"1","language":"en","note":"publisher: Cambridge University Press","page":"21-30","source":"Cambridge University Press","title":"Contact rates and exposure to inter-species disease transmission in mountain ungulates","volume":"134","author":[{"family":"Richomme","given":"C."},{"family":"Gauthier","given":"D."},{"family":"Fromont","given":"E."}],"issued":{"date-parts":[["2006",2]]}}},{"id":3619,"uris":["http://zotero.org/users/local/NciqjDvn/items/CRALZSMA"],"itemData":{"id":3619,"type":"article-journal","abstract":"Abstract \n Information regarding spatio-temporal relationships and encounters of sympatric domestic sheep, Alpine ibex ( Capra ibex ibex ) and Alpine chamois ( Rupicapra rupicapra rupicapra ) in the Swiss Alps were systematically registered to evaluate the possibility of an interspecific...","container-title":"Hystrix, the Italian Journal of Mammalogy","DOI":"10.4404/hystrix-13.1-2-4180","ISSN":"0394-1914, 1825-5272","issue":"1-2","journalAbbreviation":"Hystrix It. J. Mamm.","language":"english","note":"publisher: Associazione Teriologica Italiana","source":"www.italian-journal-of-mammalogy.it","title":"Encounters between Alpine ibex, Alpine chamois and domestic sheep in the Swiss Alps","URL":"http://www.italian-journal-of-mammalogy.it/Encounters-between-Alpine-ibex-Alpine-chamois-and-domestic-sheep-in-the-Swiss-Alps,77615,0,2.html","volume":"13","author":[{"family":"Ryser-Degiorgis","given":"Marie-Pierre"},{"family":"Ingold","given":"Paul"},{"family":"Tenhu","given":"Hanna"},{"family":"Less","given":"Ana Marìa Tébar"},{"family":"Ryser","given":"Andreas"},{"family":"Giacometti","given":"Marco"}],"accessed":{"date-parts":[["2022",12,29]]},"issued":{"date-parts":[["2002",12,20]]}}},{"id":4938,"uris":["http://zotero.org/users/local/NciqjDvn/items/XU4WF829"],"itemData":{"id":4938,"type":"article-journal","abstract":"Attraction sites are important for environmental pathogen transmission and spillover. Yet, their role in wildlife disease dynamics is often poorly substantiated. Herein, we study the role of salt licks as potential attraction sites for the spillover of gastrointestinal parasites from domestic sheep to wild reindeer. Eggs from the introduced sheep nematode Nematodirus battus were found in faecal samples of both species, suggestive of spillover. DNA metabarcoding of soil, collected at salt licks, revealed that N. battus, in addition to Teladorsagia circumcincta, were the most frequently occurring parasitic nematodes, with a significantly higher prevalence of nematodal DNA in salt lick soil compared to soil from control sites nearby. The finding of similar DNA haplotypes of N. battus in sheep, reindeer, and salt lick </w:instrText>
      </w:r>
      <w:r w:rsidR="00991FDE" w:rsidRPr="00883FC0">
        <w:rPr>
          <w:rFonts w:ascii="Arial" w:hAnsi="Arial" w:cs="Arial"/>
          <w:sz w:val="24"/>
          <w:szCs w:val="24"/>
        </w:rPr>
        <w:instrText xml:space="preserve">soil supports the hypothesis of spillover to reindeer via salt licks. More detailed investigation of the genetic diversity of N. battus across these hosts is needed to draw firm conclusions. Infection with these sheep nematodes could potentially explain a recently observed decline in the calf recruitment rate of the Knutshø reindeer herd. This study also supports the hypothesized role of artificial salt licks as hot spots for the transmission of environmentally persistent pathogens and illustrates the importance of knowledge about such attraction points in the study of disease in free-roaming animals.","container-title":"Pathogens","DOI":"10.3390/pathogens12020186","ISSN":"2076-0817","issue":"2","language":"en","license":"http://creativecommons.org/licenses/by/3.0/","note":"number: 2\npublisher: Multidisciplinary Digital Publishing Institute","page":"186","source":"www.mdpi.com","title":"Parasite spillover from domestic sheep to wild reindeer—The role of salt licks","volume":"12","author":[{"family":"Utaaker","given":"Kjersti Selstad"},{"family":"Ytrehus","given":"Bjørnar"},{"family":"Davey","given":"Marie L."},{"family":"Fossøy","given":"Frode"},{"family":"Davidson","given":"Rebecca K."},{"family":"Miller","given":"Andrea L."},{"family":"Robertsen","given":"Per-Anders"},{"family":"Strand","given":"Olav"},{"family":"Rauset","given":"Geir Rune"}],"issued":{"date-parts":[["2023",2]]}}}],"schema":"https://github.com/citation-style-language/schema/raw/master/csl-citation.json"}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rPr>
        <w:t>(Richomme et al., 2006; Ryser-Degiorgis et al., 2002; Utaaker et al., 2023)</w:t>
      </w:r>
      <w:r w:rsidRPr="00883FC0">
        <w:rPr>
          <w:rFonts w:ascii="Arial" w:hAnsi="Arial" w:cs="Arial"/>
          <w:sz w:val="24"/>
          <w:szCs w:val="24"/>
          <w:lang w:val="en-GB"/>
        </w:rPr>
        <w:fldChar w:fldCharType="end"/>
      </w:r>
      <w:r w:rsidRPr="00883FC0">
        <w:rPr>
          <w:rFonts w:ascii="Arial" w:hAnsi="Arial" w:cs="Arial"/>
          <w:sz w:val="24"/>
          <w:szCs w:val="24"/>
        </w:rPr>
        <w:t xml:space="preserve">. </w:t>
      </w:r>
    </w:p>
    <w:p w14:paraId="1D1D3903" w14:textId="5574826C" w:rsidR="00685709" w:rsidRPr="00883FC0" w:rsidRDefault="00685709"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Consequently, transhumant</w:t>
      </w:r>
      <w:r w:rsidRPr="00883FC0">
        <w:rPr>
          <w:rFonts w:ascii="Arial" w:hAnsi="Arial" w:cs="Arial"/>
          <w:lang w:val="en-GB"/>
        </w:rPr>
        <w:t xml:space="preserve"> </w:t>
      </w:r>
      <w:r w:rsidRPr="00883FC0">
        <w:rPr>
          <w:rFonts w:ascii="Arial" w:hAnsi="Arial" w:cs="Arial"/>
          <w:sz w:val="24"/>
          <w:szCs w:val="24"/>
          <w:lang w:val="en-GB"/>
        </w:rPr>
        <w:t>pastoralism represents a risk f</w:t>
      </w:r>
      <w:r w:rsidR="00A4345F" w:rsidRPr="00883FC0">
        <w:rPr>
          <w:rFonts w:ascii="Arial" w:hAnsi="Arial" w:cs="Arial"/>
          <w:sz w:val="24"/>
          <w:szCs w:val="24"/>
          <w:lang w:val="en-GB"/>
        </w:rPr>
        <w:t>or</w:t>
      </w:r>
      <w:r w:rsidR="0055134E" w:rsidRPr="00883FC0">
        <w:rPr>
          <w:rFonts w:ascii="Arial" w:hAnsi="Arial" w:cs="Arial"/>
          <w:sz w:val="24"/>
          <w:szCs w:val="24"/>
          <w:lang w:val="en-GB"/>
        </w:rPr>
        <w:t xml:space="preserve"> pathogen</w:t>
      </w:r>
      <w:r w:rsidRPr="00883FC0">
        <w:rPr>
          <w:rFonts w:ascii="Arial" w:hAnsi="Arial" w:cs="Arial"/>
          <w:sz w:val="24"/>
          <w:szCs w:val="24"/>
          <w:lang w:val="en-GB"/>
        </w:rPr>
        <w:t xml:space="preserve"> transmission between wild and domestic ungulates in mountain areas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{"citationID":"cQMdXmOk","properties":{"formattedCitation":"(Rossi et al., 2019)","plainCitation":"(Rossi et al., 2019)","noteIndex":0},"citationItems":[{"id":3624,"uris":["http://zotero.org/users/local/NciqjDvn/items/SGWRYNU6"],"itemData":{"id":3624,"type":"article-journal","abstract":"Population density and distribution of the four native European wild Caprines (Rupicapra rupicapra, Rupicapra pyrenaica, Capra ibex, Capra pyrenaica) have increased in recent decades. The improved conservation status of this valuable wildlife, while a welcome event in general terms, is at the same time a matter of concern since, intuitively, frequent and tighter contacts with sympatric livestock imply a greater risk of cross-transmission of emerging and re-emerging pathogens, and offer unexpected opportunities for pathogens to spread, persist and evolve. This article recalls the transmissible diseases that are perceived in Europe to be of major significance from a conservation perspective, namely brucellosis (BRC) by Brucella melitensis, infectious kerato-conjunctivitis (IKC) by Mycoplasma conjunctivae, pestivirosis (PV) by the border disease virus strain 4 and mange by Sarcoptes scabiei. Special emphasis has been put on the epidemiological role played by small domestic ruminants, and on key knowledge needed to implement evidence-based prevention and control strategies. Remarkably, scientific evidence demonstrates that major demographic downturns in affected wild Caprinae populations in recent decades have often been triggered by pathogens cross-transmitted at the livestock/wildlife interface.","container-title":"Animals","DOI":"10.3390/ani9110922","ISSN":"2076-2615","issue":"11","language":"en","license":"http://creativecommons.org/licenses/by/3.0/","note":"number: 11\npublisher: Multidisciplinary Digital Publishing Institute","page":"922","source":"www.mdpi.com","title":"Sanitary emergencies at the wild/domestic caprines interface in Europe","volume":"9","author":[{"family":"Rossi","given":"Luca"},{"family":"Tizzani","given":"Paolo"},{"family":"Rambozzi","given":"Luisa"},{"family":"Moroni","given":"Barbara"},{"family":"Meneguz","given":"Pier Giuseppe"}],"issued":{"date-parts":[["2019",11]]}}}],"schema":"https://github.com/citation-style-language/schema/raw/master/csl-citation.json"}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(Rossi et al., 2019)</w:t>
      </w:r>
      <w:r w:rsidRPr="00883FC0">
        <w:rPr>
          <w:rFonts w:ascii="Arial" w:hAnsi="Arial" w:cs="Arial"/>
          <w:sz w:val="24"/>
          <w:szCs w:val="24"/>
          <w:lang w:val="en-GB"/>
        </w:rPr>
        <w:fldChar w:fldCharType="end"/>
      </w:r>
      <w:r w:rsidRPr="00883FC0">
        <w:rPr>
          <w:rFonts w:ascii="Arial" w:hAnsi="Arial" w:cs="Arial"/>
          <w:sz w:val="24"/>
          <w:szCs w:val="24"/>
          <w:lang w:val="en-GB"/>
        </w:rPr>
        <w:t xml:space="preserve">. Pathogen exchange at the interface of wild and domestic ungulates have already been well documented. </w:t>
      </w:r>
      <w:r w:rsidR="0055134E" w:rsidRPr="00883FC0">
        <w:rPr>
          <w:rFonts w:ascii="Arial" w:hAnsi="Arial" w:cs="Arial"/>
          <w:sz w:val="24"/>
          <w:szCs w:val="24"/>
          <w:lang w:val="en-GB"/>
        </w:rPr>
        <w:t xml:space="preserve">The </w:t>
      </w:r>
      <w:r w:rsidRPr="00883FC0">
        <w:rPr>
          <w:rFonts w:ascii="Arial" w:hAnsi="Arial" w:cs="Arial"/>
          <w:sz w:val="24"/>
          <w:szCs w:val="24"/>
          <w:lang w:val="en-GB"/>
        </w:rPr>
        <w:t>Alpine ibex ha</w:t>
      </w:r>
      <w:r w:rsidR="0055134E" w:rsidRPr="00883FC0">
        <w:rPr>
          <w:rFonts w:ascii="Arial" w:hAnsi="Arial" w:cs="Arial"/>
          <w:sz w:val="24"/>
          <w:szCs w:val="24"/>
          <w:lang w:val="en-GB"/>
        </w:rPr>
        <w:t>s</w:t>
      </w:r>
      <w:r w:rsidRPr="00883FC0">
        <w:rPr>
          <w:rFonts w:ascii="Arial" w:hAnsi="Arial" w:cs="Arial"/>
          <w:sz w:val="24"/>
          <w:szCs w:val="24"/>
          <w:lang w:val="en-GB"/>
        </w:rPr>
        <w:t xml:space="preserve"> been identified as the wildlife reservoir of brucellosis (</w:t>
      </w:r>
      <w:r w:rsidRPr="00883FC0">
        <w:rPr>
          <w:rFonts w:ascii="Arial" w:hAnsi="Arial" w:cs="Arial"/>
          <w:i/>
          <w:sz w:val="24"/>
          <w:szCs w:val="24"/>
          <w:lang w:val="en-GB"/>
        </w:rPr>
        <w:t>Brucella melitensis</w:t>
      </w:r>
      <w:r w:rsidRPr="00883FC0">
        <w:rPr>
          <w:rFonts w:ascii="Arial" w:hAnsi="Arial" w:cs="Arial"/>
          <w:sz w:val="24"/>
          <w:szCs w:val="24"/>
          <w:lang w:val="en-GB"/>
        </w:rPr>
        <w:t xml:space="preserve">) which </w:t>
      </w:r>
      <w:r w:rsidR="0055134E" w:rsidRPr="00883FC0">
        <w:rPr>
          <w:rFonts w:ascii="Arial" w:hAnsi="Arial" w:cs="Arial"/>
          <w:sz w:val="24"/>
          <w:szCs w:val="24"/>
          <w:lang w:val="en-GB"/>
        </w:rPr>
        <w:t>was</w:t>
      </w:r>
      <w:r w:rsidRPr="00883FC0">
        <w:rPr>
          <w:rFonts w:ascii="Arial" w:hAnsi="Arial" w:cs="Arial"/>
          <w:sz w:val="24"/>
          <w:szCs w:val="24"/>
          <w:lang w:val="en-GB"/>
        </w:rPr>
        <w:t xml:space="preserve"> transmitted to cattle and human</w:t>
      </w:r>
      <w:r w:rsidR="00A4345F" w:rsidRPr="00883FC0">
        <w:rPr>
          <w:rFonts w:ascii="Arial" w:hAnsi="Arial" w:cs="Arial"/>
          <w:sz w:val="24"/>
          <w:szCs w:val="24"/>
          <w:lang w:val="en-GB"/>
        </w:rPr>
        <w:t>s</w:t>
      </w:r>
      <w:r w:rsidRPr="00883FC0">
        <w:rPr>
          <w:rFonts w:ascii="Arial" w:hAnsi="Arial" w:cs="Arial"/>
          <w:sz w:val="24"/>
          <w:szCs w:val="24"/>
          <w:lang w:val="en-GB"/>
        </w:rPr>
        <w:t xml:space="preserve"> in the Bargy massif in northern French Alps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{"citationID":"KjxTrkZ7","properties":{"formattedCitation":"(Marchand et al., 2017)","plainCitation":"(Marchand et al., 2017)","noteIndex":0},"citationItems":[{"id":2315,"uris":["http://zotero.org/users/local/NciqjDvn/items/U7FRQDTE"],"itemData":{"id":2315,"type":"article-journal","abstract":"In a context of (re)emerging infectious diseases with wildlife reservoirs, understanding how animal ecology shapes epidemiology is a key issue, particularly in wild ungulates that share pathogens with domestic herbivores and have similar food requirements. For the first time in Europe, brucellosis (Brucella melitensis), a virulent zoonosis, persisted in an Alpine ibex (Capra ibex) population and was transmitted to cattle and humans. To better understand disease dynamics, we investigated the relationships between the spatial ecology of ibex and the epidemiology of brucellosis. Combining home range overlap between 37 GPS-collared individuals and visual observations of 148 visually-marked individuals monitored during the 2013–2016 period, we showed that females were spatially segregated in at least 4 units all year round, whereas males were more prone to move between female units, in particular during the rutting period. In addition to ibex age, the spatial structure in females largely contributed to variation in seroprevalence in the whole population. These results suggest that non-sexual routes are the most likely pathways of intraspecific transmission, crucial information for management. Accounting for wildlife spatial ecology was hence decisive in improving our ability to better understand this health challenge involving a wildlife reservoir.","container-title":"Scientific Reports","DOI":"10.1038/s41598-017-15803-w","ISSN":"2045-2322","issue":"1","journalAbbreviation":"Sci Rep","language":"en","license":"2017 The Author(s)","note":"Bandiera_abtest: a\nCc_license_type: cc_by\nCg_type: Nature Research Journals\nnumber: 1\nPrimary_atype: Research\npublisher: Nature Publishing Group\nSubject_term: Bacterial infection;Behavioural ecology\nSubject_term_id: bacterial-infection;behavioural-ecology","page":"15592","source":"www.nature.com","title":"Sociospatial structure explains marked variation in brucellosis seroprevalence in an Alpine ibex population","volume":"7","author":[{"family":"Marchand","given":"Pascal"},{"family":"Freycon","given":"Pauline"},{"family":"Herbaux","given":"Jean-Philippe"},{"family":"Game","given":"Yvette"},{"family":"Toïgo","given":"Carole"},{"family":"Gilot-Fromont","given":"Emmanuelle"},{"family":"Rossi","given":"Sophie"},{"family":"Hars","given":"Jean"}],"issued":{"date-parts":[["2017",11,15]]}}}],"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(Marchand et al., 2017)</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55134E" w:rsidRPr="00883FC0">
        <w:rPr>
          <w:rFonts w:ascii="Arial" w:hAnsi="Arial" w:cs="Arial"/>
          <w:sz w:val="24"/>
          <w:szCs w:val="24"/>
          <w:lang w:val="en-GB"/>
        </w:rPr>
        <w:t>In addition</w:t>
      </w:r>
      <w:r w:rsidRPr="00883FC0">
        <w:rPr>
          <w:rFonts w:ascii="Arial" w:hAnsi="Arial" w:cs="Arial"/>
          <w:sz w:val="24"/>
          <w:szCs w:val="24"/>
          <w:lang w:val="en-GB"/>
        </w:rPr>
        <w:t xml:space="preserve">, </w:t>
      </w:r>
      <w:r w:rsidR="0055134E" w:rsidRPr="00883FC0">
        <w:rPr>
          <w:rFonts w:ascii="Arial" w:hAnsi="Arial" w:cs="Arial"/>
          <w:sz w:val="24"/>
          <w:szCs w:val="24"/>
          <w:lang w:val="en-GB"/>
        </w:rPr>
        <w:t>sheep have been</w:t>
      </w:r>
      <w:r w:rsidRPr="00883FC0">
        <w:rPr>
          <w:rFonts w:ascii="Arial" w:hAnsi="Arial" w:cs="Arial"/>
          <w:sz w:val="24"/>
          <w:szCs w:val="24"/>
          <w:lang w:val="en-GB"/>
        </w:rPr>
        <w:t xml:space="preserve"> confirmed </w:t>
      </w:r>
      <w:r w:rsidR="0055134E" w:rsidRPr="00883FC0">
        <w:rPr>
          <w:rFonts w:ascii="Arial" w:hAnsi="Arial" w:cs="Arial"/>
          <w:sz w:val="24"/>
          <w:szCs w:val="24"/>
          <w:lang w:val="en-GB"/>
        </w:rPr>
        <w:t>as t</w:t>
      </w:r>
      <w:r w:rsidRPr="00883FC0">
        <w:rPr>
          <w:rFonts w:ascii="Arial" w:hAnsi="Arial" w:cs="Arial"/>
          <w:sz w:val="24"/>
          <w:szCs w:val="24"/>
          <w:lang w:val="en-GB"/>
        </w:rPr>
        <w:t>he domestic reservoir of Border disease</w:t>
      </w:r>
      <w:r w:rsidR="0055134E" w:rsidRPr="00883FC0">
        <w:rPr>
          <w:rFonts w:ascii="Arial" w:hAnsi="Arial" w:cs="Arial"/>
          <w:sz w:val="24"/>
          <w:szCs w:val="24"/>
          <w:lang w:val="en-GB"/>
        </w:rPr>
        <w:t>,</w:t>
      </w:r>
      <w:r w:rsidRPr="00883FC0">
        <w:rPr>
          <w:rFonts w:ascii="Arial" w:hAnsi="Arial" w:cs="Arial"/>
          <w:sz w:val="24"/>
          <w:szCs w:val="24"/>
          <w:lang w:val="en-GB"/>
        </w:rPr>
        <w:t xml:space="preserve"> which </w:t>
      </w:r>
      <w:r w:rsidR="002237AC" w:rsidRPr="002237AC">
        <w:rPr>
          <w:rFonts w:ascii="Arial" w:hAnsi="Arial" w:cs="Arial"/>
          <w:sz w:val="24"/>
          <w:szCs w:val="24"/>
          <w:highlight w:val="yellow"/>
          <w:lang w:val="en-GB"/>
        </w:rPr>
        <w:t>caused</w:t>
      </w:r>
      <w:r w:rsidRPr="00883FC0">
        <w:rPr>
          <w:rFonts w:ascii="Arial" w:hAnsi="Arial" w:cs="Arial"/>
          <w:sz w:val="24"/>
          <w:szCs w:val="24"/>
          <w:lang w:val="en-GB"/>
        </w:rPr>
        <w:t xml:space="preserve"> a </w:t>
      </w:r>
      <w:r w:rsidR="0055134E" w:rsidRPr="00883FC0">
        <w:rPr>
          <w:rFonts w:ascii="Arial" w:hAnsi="Arial" w:cs="Arial"/>
          <w:sz w:val="24"/>
          <w:szCs w:val="24"/>
          <w:lang w:val="en-GB"/>
        </w:rPr>
        <w:t>major</w:t>
      </w:r>
      <w:r w:rsidR="00325F10" w:rsidRPr="00883FC0">
        <w:rPr>
          <w:rFonts w:ascii="Arial" w:hAnsi="Arial" w:cs="Arial"/>
          <w:sz w:val="24"/>
          <w:szCs w:val="24"/>
          <w:lang w:val="en-GB"/>
        </w:rPr>
        <w:t xml:space="preserve"> viral </w:t>
      </w:r>
      <w:r w:rsidRPr="00883FC0">
        <w:rPr>
          <w:rFonts w:ascii="Arial" w:hAnsi="Arial" w:cs="Arial"/>
          <w:sz w:val="24"/>
          <w:szCs w:val="24"/>
          <w:lang w:val="en-GB"/>
        </w:rPr>
        <w:t>outbreak in Southern chamois (</w:t>
      </w:r>
      <w:r w:rsidRPr="00883FC0">
        <w:rPr>
          <w:rFonts w:ascii="Arial" w:hAnsi="Arial" w:cs="Arial"/>
          <w:i/>
          <w:sz w:val="24"/>
          <w:szCs w:val="24"/>
          <w:lang w:val="en-GB"/>
        </w:rPr>
        <w:t>Rupicapra pyrenaica</w:t>
      </w:r>
      <w:r w:rsidRPr="00883FC0">
        <w:rPr>
          <w:rFonts w:ascii="Arial" w:hAnsi="Arial" w:cs="Arial"/>
          <w:sz w:val="24"/>
          <w:szCs w:val="24"/>
          <w:lang w:val="en-GB"/>
        </w:rPr>
        <w:t>) population</w:t>
      </w:r>
      <w:r w:rsidR="00325F10" w:rsidRPr="00883FC0">
        <w:rPr>
          <w:rFonts w:ascii="Arial" w:hAnsi="Arial" w:cs="Arial"/>
          <w:sz w:val="24"/>
          <w:szCs w:val="24"/>
          <w:lang w:val="en-GB"/>
        </w:rPr>
        <w:t>s</w:t>
      </w:r>
      <w:r w:rsidRPr="00883FC0">
        <w:rPr>
          <w:rFonts w:ascii="Arial" w:hAnsi="Arial" w:cs="Arial"/>
          <w:sz w:val="24"/>
          <w:szCs w:val="24"/>
          <w:lang w:val="en-GB"/>
        </w:rPr>
        <w:t xml:space="preserve"> in the Pyrenees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{"citationID":"8hi9VEpM","properties":{"formattedCitation":"(Luzzago et al., 2016)","plainCitation":"(Luzzago et al., 2016)","noteIndex":0},"citationItems":[{"id":3617,"uris":["http://zotero.org/users/local/NciqjDvn/items/RV3FZ5TK"],"itemData":{"id":3617,"type":"article-journal","abstract":"Border disease virus (BDV) affects a wide range of ruminants worldwide, mainly domestic sheep and goat. Since 2001 several outbreaks of disease associated to BDV infection have been described in Pyrenean chamois (Rupicapra pyrenaica pyrenaica) in Spain, France and Andorra. In order to reconstruct the most probable places of origin and pathways of dispersion of BDV among Pyrenean chamois, a phylogenetic analysis of 95 BDV 5’untranslated sequences has been performed on chamois and domestic ungulates, including novel sequences and retrieved from public databases, using a Bayesian Markov Chain Monte Carlo method. Discrete and continuous space phylogeography have been applied on chamois sequences dataset, using centroid positions and latitude and longitude coordinates of the animals, respectively. The estimated mean evolutionary rate of BDV sequences was 2.9×10−3 subs/site/year (95% HPD: 1.5–4.6×10−3). All the Pyrenean chamois isolates clustered in a unique highly significant clade, that originated from BDV-4a ovine clade. The introduction from sheep (dated back to the early 90s) generated a founder effect on the chamois population and the most probable place of origin of Pyrenean chamois BDV was estimated at coordinates 42.42 N and 1.9 E. The pathways of virus dispersion showed two main routes: the first started on the early 90s of the past century with a westward direction and the second arise in Central Pyrenees. The virus spread westward for more than 125 km and southward for about 50km and the estimated epidemic diffusion rate was about 13.1 km/year (95% HPD 5.2–21.4 km/year). The strong spatial structure, with strains from a single locality segregating together in homogeneous groups, and the significant pathways of viral dispersion among the areas, allowed to reconstruct both events of infection in a single area and of migrations, occurring between neighboring areas.","container-title":"PLOS ONE","DOI":"10.1371/journal.pone.0168232","ISSN":"1932-6203","issue":"12","journalAbbreviation":"PLOS ONE","language":"en","note":"publisher: Public Library of Science","page":"e0168232","source":"PLoS Journals","title":"Spatial and Temporal Phylogeny of Border Disease Virus in Pyrenean Chamois (&lt;i&gt;Rupicapra p. pyrenaica&lt;/i&gt;)","volume":"11","author":[{"family":"Luzzago","given":"Camilla"},{"family":"Ebranati","given":"Erika"},{"family":"Cabezón","given":"Oscar"},{"family":"Fernández-Sirera","given":"Laura"},{"family":"Lavín","given":"Santiago"},{"family":"Rosell","given":"Rosa"},{"family":"Veo","given":"Carla"},{"family":"Rossi","given":"Luca"},{"family":"Cavallero","given":"Serena"},{"family":"Lanfranchi","given":"Paolo"},{"family":"Marco","given":"Ignasi"},{"family":"Zehender","given":"Gianguglielmo"}],"issued":{"date-parts":[["2016",12,29]]}}}],"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(Luzzago et al., 2016)</w:t>
      </w:r>
      <w:r w:rsidRPr="00883FC0">
        <w:rPr>
          <w:rFonts w:ascii="Arial" w:hAnsi="Arial" w:cs="Arial"/>
          <w:sz w:val="24"/>
          <w:szCs w:val="24"/>
          <w:lang w:val="en-GB"/>
        </w:rPr>
        <w:fldChar w:fldCharType="end"/>
      </w:r>
      <w:r w:rsidRPr="00883FC0">
        <w:rPr>
          <w:rFonts w:ascii="Arial" w:hAnsi="Arial" w:cs="Arial"/>
          <w:sz w:val="24"/>
          <w:szCs w:val="24"/>
          <w:lang w:val="en-GB"/>
        </w:rPr>
        <w:t>. T</w:t>
      </w:r>
      <w:r w:rsidR="0055134E" w:rsidRPr="00883FC0">
        <w:rPr>
          <w:rFonts w:ascii="Arial" w:hAnsi="Arial" w:cs="Arial"/>
          <w:sz w:val="24"/>
          <w:szCs w:val="24"/>
          <w:lang w:val="en-GB"/>
        </w:rPr>
        <w:t>he t</w:t>
      </w:r>
      <w:r w:rsidRPr="00883FC0">
        <w:rPr>
          <w:rFonts w:ascii="Arial" w:hAnsi="Arial" w:cs="Arial"/>
          <w:sz w:val="24"/>
          <w:szCs w:val="24"/>
          <w:lang w:val="en-GB"/>
        </w:rPr>
        <w:t xml:space="preserve">ransmission of gastrointestinal nematodes has already been described between wild ungulates and transhumant domestic ungulates in mountainous areas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{"citationID":"a269u1p4vtb","properties":{"formattedCitation":"(Cerutti et al., 2010; Citterio et al., 2006; Khanyari et al., 2022; Zaffaroni et al., 2000)","plainCitation":"(Cerutti et al., 2010; Citterio et al., 2006; Khanyari et al., 2022; Zaffaroni et al., 2000)","noteIndex":0},"citationItems":[{"id":631,"uris":["http://zotero.org/users/local/NciqjDvn/items/7L2VHUIH"],"itemData":{"id":631,"type":"article-journal","abstract":"Genetic variability of the ovine parasite Haemonchus contortus from the Alpine area was investigated using mitochondrial DNA (nd4 gene), internal transcribed spacers 1 and 2 and microsatellites, in order to assess whether cross-transmission between domestic and wild ruminants occurs. The dataset was composed of 78 individual adult male H. contortus collected from chamois (Rupicapra r. rupicapra), roe deer (Capreolus capreolus), alpine ibex (Capra ibex ibex), domestic goat (Capra hircus) and sheep (Ovis aries) from different alpine areas. The data obtained show low host specificity and high genetic variation within H. contortus populations. The analyses indicate the presence of two mitochondrial haplotype clusters among host species and the absence of cryptic parasite species, confirming H. contortus as a generalist nematode and suggesting that parasite transmission between populations of domestic and wild ruminants normally occurs.","container-title":"Journal of Helminthology","DOI":"10.1017/S0022149X09990587","ISSN":"1475-2697, 0022-149X","issue":"3","language":"en","page":"276-283","source":"Cambridge Core","title":"Genetic variability of &lt;i&gt;Haemonchus contortus&lt;/i&gt; (Nematoda: Trichostrongyloidea) in alpine ruminant host species","title-short":"Genetic variability of Haemonchus contortus (Nematoda","volume":"84","author":[{"family":"Cerutti","given":"M. C."},{"family":"Citterio","given":"C. V."},{"family":"Bazzocchi","given":"C."},{"family":"Epis","given":"S."},{"family":"D'Amelio","given":"S."},{"family":"Ferrari","given":"N."},{"family":"Lanfranchi","given":"P."}],"issued":{"date-parts":[["2010",9]]}}},{"id":4558,"uris":["http://zotero.org/users/local/NciqjDvn/items/7LHC8843"],"itemData":{"id":4558,"type":"article-journal","abstract":"Abomasa of 185 chamois shot during 5 consecutive hunting seasons were collected as part of a health monitoring program in an alpine area of Italy and examined for nematodes. The data were obtained during both the preceding period and that following a severe die-off caused by a pneumonia outbreak. Prevalence, mean abundance, mean intensity, and Thul Importance index were consistently high, in particular for Haemonchus contortus, having a low host specificity and high pathogenic potential. Species typical of cervids were also consistently detected. The abomasal nematode community showed an isolationist structure, suggesting its composition was primarily determined by external factors such as interspecific interaction among host species and environmental conditions. The effect of different factors (host sex, sampling site, and time) on nematode counts and aggregation were analyzed and discussed considering the peculiarities of the study site and the chamois population crash. In the light of parallel results for health monitoring, abomasal parasitism could represent a predisposing factor for the observed die-off.","container-title":"The Journal of Parasitology","ISSN":"0022-3395","issue":"5","note":"publisher: [The American Society of Parasitologists, Allen Press]","page":"918-927","source":"JSTOR","title":"Abomasal Nematode Community in an Alpine Chamois (&lt;i&gt; Rupicapra r. rupicapra&lt;/i&gt; ) Population before and after a Die-Off","volume":"92","author":[{"family":"Citterio","given":"Carlo V."},{"family":"Caslini","given":"Chiara"},{"family":"Milani","given":"Franco"},{"family":"Sala","given":"Marcello"},{"family":"Ferrari","given":"Nicola"},{"family":"Lanfranchi","given":"Paolo"}],"issued":{"date-parts":[["2006"]]}}},{"id":3600,"uris":["http://zotero.org/users/local/NciqjDvn/items/48WF8JIV"],"itemData":{"id":3600,"type":"article-journal","abstract":"Rangelands are increasingly being affected by climatic variations, fragmentation and changes in livestock management practices. Along with resource competition between livestock and wildlife, disease transmission has implications for people and wildlife in these shared landscapes. We worked with two pastoral communities in the Western Indian Himalayas: the migratory Kinnauras that travel to the Trans-Himalayan Pin valley in summer and the resident herders of Pin Valley. Asiatic ibex (Capra sibirica) is the predominant wild herbivore in Pin. The pastures in Pin are grazed by both livestock (migratory and resident) and ibex, with the potential for disease transmission. We investigate the effects of herding practices on livestock health and disease transmission, while focusing on gastro-intestinal nematodes (GINs) as they can spread by sharing pasture between wild and domestic ungulates. Surveys were carried out between June and August 2019, the period when migratory Kinnauras, local herders and Asiatic Ibex are found in Pin Valley. We found that the Kinnaura flocks share pasture with ibex during their time in Pin, exhibiting significantly higher endo-parasite burdens than sedentary livestock, and the Kinnaura flocks are increasing in number. This suggests GIN cross-transmission is possible, as GINs have low host specificity and a free-living, environmental stage that is trophically acquired. As local (sedentary) sheep and goats rarely share pasture with ibex, have low endo-parasite burdens and are few in number, they are unlikely to transmit parasites to ibex. However, increasingly large local stock numbers may be contributing to pasture degradation which could cause nutritional stress and resource competition, exacerbating GIN impacts. We also find evidence for transhumance persisting, in spite of signs of pasture degradation that are seemingly affecting livestock productivity and potentially disease transmission. It is critical that proactive measures are taken, like participatory disease management with the Kinnauras, to align livelihoods with wildlife and rangeland conservation.","container-title":"Pastoralism","DOI":"10.1186/s13570-022-00257-1","ISSN":"2041-7136","issue":"1","journalAbbreviation":"Pastoralism","language":"en","page":"44","source":"Springer Link","title":"Pastoralism in the high Himalayas: Understanding changing practices and their implications for parasite transmission between livestock and wildlife","title-short":"Pastoralism in the high Himalayas","volume":"12","author":[{"family":"Khanyari","given":"Munib"},{"family":"Robinson","given":"Sarah"},{"family":"Milner-Gulland","given":"E. J."},{"family":"Morgan","given":"E. R."},{"family":"Rana","given":"Rashmi Singh"},{"family":"Suryawanshi","given":"Kulbhushansingh R."}],"issued":{"date-parts":[["2022",11,4]]}}},{"id":612,"uris":["http://zotero.org/users/local/NciqjDvn/items/7B7UYZCJ"],"itemData":{"id":612,"type":"article-journal","abstract":"Abomasums from 641 alpine wild ruminants representing five different species (Cervus elaphus, Capreolus capreolus, Rupicapra rupicapra, Capra ibex, Ovis musimon) and from 19 domestic sheep (Ovis aries) from alpine areas were examined in order to investigate the host-specificity of abomasal helminths. Nine out of 20 helminth species were found in at least five different host species. A discriminant analysis </w:instrText>
      </w:r>
      <w:r w:rsidR="00991FDE" w:rsidRPr="00883FC0">
        <w:rPr>
          <w:rFonts w:ascii="Arial" w:hAnsi="Arial" w:cs="Arial"/>
          <w:sz w:val="24"/>
          <w:szCs w:val="24"/>
        </w:rPr>
        <w:instrText xml:space="preserve">was able to significantly discriminate the hosts on the basis of their helminth community composition with the exception of O. musimon and O. aries. Based on the correlation between each variable represented by helminth species with the most explanatory discriminant axis, it was possible to classify helminths into specialists and generalists. Specialists are represented by the dominant species in a community of an host species or family while generalists appear in the communities of many different hosts as intermediate species. Due to the pathogenic potential of some of these generalist species (i.e. Haemonchus contortus, Trichostrongylus axei) and their ability to adapt easily to the conditions found in several different hosts, they appear to be the most important from a sanitary point of view.","container-title":"Veterinary Parasitology","DOI":"10.1016/S0304-4017(00)00240-5","ISSN":"0304-4017","issue":"3","journalAbbreviation":"Vet. Parasitol","language":"en","page":"221-230","source":"ScienceDirect","title":"Host specificity of abomasal nematodes in free ranging alpine ruminants","volume":"90","author":[{"family":"Zaffaroni","given":"Enrico"},{"family":"Teresa Manfredi","given":"Maria"},{"family":"Citterio","given":"Carlo"},{"family":"Sala","given":"Marcello"},{"family":"Piccolo","given":"Giuliana"},{"family":"Lanfranchi","given":"Paolo"}],"issued":{"date-parts":[["2000",6,27]]}}}],"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rPr>
        <w:t>(Cerutti et al., 2010; Citterio et al., 2006; Khanyari et al., 2022; Zaffaroni et al., 2000)</w:t>
      </w:r>
      <w:r w:rsidRPr="00883FC0">
        <w:rPr>
          <w:rFonts w:ascii="Arial" w:hAnsi="Arial" w:cs="Arial"/>
          <w:sz w:val="24"/>
          <w:szCs w:val="24"/>
          <w:lang w:val="en-GB"/>
        </w:rPr>
        <w:fldChar w:fldCharType="end"/>
      </w:r>
      <w:r w:rsidRPr="00883FC0">
        <w:rPr>
          <w:rFonts w:ascii="Arial" w:hAnsi="Arial" w:cs="Arial"/>
          <w:sz w:val="24"/>
          <w:szCs w:val="24"/>
        </w:rPr>
        <w:t xml:space="preserve">. </w:t>
      </w:r>
      <w:r w:rsidRPr="00883FC0">
        <w:rPr>
          <w:rFonts w:ascii="Arial" w:hAnsi="Arial" w:cs="Arial"/>
          <w:sz w:val="24"/>
          <w:szCs w:val="24"/>
          <w:lang w:val="en-GB"/>
        </w:rPr>
        <w:t>However, no study has yet investigated the transmission of anthelmintic</w:t>
      </w:r>
      <w:r w:rsidR="0055134E" w:rsidRPr="00883FC0">
        <w:rPr>
          <w:rFonts w:ascii="Arial" w:hAnsi="Arial" w:cs="Arial"/>
          <w:sz w:val="24"/>
          <w:szCs w:val="24"/>
          <w:lang w:val="en-GB"/>
        </w:rPr>
        <w:t>-</w:t>
      </w:r>
      <w:r w:rsidRPr="00883FC0">
        <w:rPr>
          <w:rFonts w:ascii="Arial" w:hAnsi="Arial" w:cs="Arial"/>
          <w:sz w:val="24"/>
          <w:szCs w:val="24"/>
          <w:lang w:val="en-GB"/>
        </w:rPr>
        <w:t>resistant nematode</w:t>
      </w:r>
      <w:r w:rsidR="00325F10" w:rsidRPr="00883FC0">
        <w:rPr>
          <w:rFonts w:ascii="Arial" w:hAnsi="Arial" w:cs="Arial"/>
          <w:sz w:val="24"/>
          <w:szCs w:val="24"/>
          <w:lang w:val="en-GB"/>
        </w:rPr>
        <w:t>s</w:t>
      </w:r>
      <w:r w:rsidRPr="00883FC0">
        <w:rPr>
          <w:rFonts w:ascii="Arial" w:hAnsi="Arial" w:cs="Arial"/>
          <w:sz w:val="24"/>
          <w:szCs w:val="24"/>
          <w:lang w:val="en-GB"/>
        </w:rPr>
        <w:t xml:space="preserve"> in a transhumant pastoral system. </w:t>
      </w:r>
    </w:p>
    <w:p w14:paraId="0520E5E9" w14:textId="2FFA9766" w:rsidR="00685709" w:rsidRPr="00883FC0" w:rsidRDefault="00685709"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In this study, we investigated the community of gastrointestinal nematodes infecting Alpine ibex and domestic sheep (</w:t>
      </w:r>
      <w:r w:rsidRPr="00883FC0">
        <w:rPr>
          <w:rFonts w:ascii="Arial" w:hAnsi="Arial" w:cs="Arial"/>
          <w:i/>
          <w:sz w:val="24"/>
          <w:szCs w:val="24"/>
          <w:lang w:val="en-GB"/>
        </w:rPr>
        <w:t>Ovis aries</w:t>
      </w:r>
      <w:r w:rsidRPr="00883FC0">
        <w:rPr>
          <w:rFonts w:ascii="Arial" w:hAnsi="Arial" w:cs="Arial"/>
          <w:sz w:val="24"/>
          <w:szCs w:val="24"/>
          <w:lang w:val="en-GB"/>
        </w:rPr>
        <w:t xml:space="preserve">) and the prevalence of resistance to benzimidazole in three different regions of the French Alps. </w:t>
      </w:r>
      <w:r w:rsidR="0055134E" w:rsidRPr="00883FC0">
        <w:rPr>
          <w:rFonts w:ascii="Arial" w:hAnsi="Arial" w:cs="Arial"/>
          <w:sz w:val="24"/>
          <w:szCs w:val="24"/>
          <w:lang w:val="en-GB"/>
        </w:rPr>
        <w:t xml:space="preserve">The </w:t>
      </w:r>
      <w:r w:rsidRPr="00883FC0">
        <w:rPr>
          <w:rFonts w:ascii="Arial" w:hAnsi="Arial" w:cs="Arial"/>
          <w:sz w:val="24"/>
          <w:szCs w:val="24"/>
          <w:lang w:val="en-GB"/>
        </w:rPr>
        <w:t>Alpine ibex was close to extinction at the beginning of the 19</w:t>
      </w:r>
      <w:r w:rsidRPr="00883FC0">
        <w:rPr>
          <w:rFonts w:ascii="Arial" w:hAnsi="Arial" w:cs="Arial"/>
          <w:sz w:val="24"/>
          <w:szCs w:val="24"/>
          <w:vertAlign w:val="superscript"/>
          <w:lang w:val="en-GB"/>
        </w:rPr>
        <w:t>th</w:t>
      </w:r>
      <w:r w:rsidRPr="00883FC0">
        <w:rPr>
          <w:rFonts w:ascii="Arial" w:hAnsi="Arial" w:cs="Arial"/>
          <w:sz w:val="24"/>
          <w:szCs w:val="24"/>
          <w:lang w:val="en-GB"/>
        </w:rPr>
        <w:t xml:space="preserve"> century but the reinforcement of its populations by several reintroductions in different part</w:t>
      </w:r>
      <w:r w:rsidR="00647E14" w:rsidRPr="00883FC0">
        <w:rPr>
          <w:rFonts w:ascii="Arial" w:hAnsi="Arial" w:cs="Arial"/>
          <w:sz w:val="24"/>
          <w:szCs w:val="24"/>
          <w:lang w:val="en-GB"/>
        </w:rPr>
        <w:t>s</w:t>
      </w:r>
      <w:r w:rsidRPr="00883FC0">
        <w:rPr>
          <w:rFonts w:ascii="Arial" w:hAnsi="Arial" w:cs="Arial"/>
          <w:sz w:val="24"/>
          <w:szCs w:val="24"/>
          <w:lang w:val="en-GB"/>
        </w:rPr>
        <w:t xml:space="preserve"> of the Alps </w:t>
      </w:r>
      <w:r w:rsidR="0055134E" w:rsidRPr="00883FC0">
        <w:rPr>
          <w:rFonts w:ascii="Arial" w:hAnsi="Arial" w:cs="Arial"/>
          <w:sz w:val="24"/>
          <w:szCs w:val="24"/>
          <w:lang w:val="en-GB"/>
        </w:rPr>
        <w:t xml:space="preserve">has </w:t>
      </w:r>
      <w:r w:rsidRPr="00883FC0">
        <w:rPr>
          <w:rFonts w:ascii="Arial" w:hAnsi="Arial" w:cs="Arial"/>
          <w:sz w:val="24"/>
          <w:szCs w:val="24"/>
          <w:lang w:val="en-GB"/>
        </w:rPr>
        <w:t>increase</w:t>
      </w:r>
      <w:r w:rsidR="0055134E" w:rsidRPr="00883FC0">
        <w:rPr>
          <w:rFonts w:ascii="Arial" w:hAnsi="Arial" w:cs="Arial"/>
          <w:sz w:val="24"/>
          <w:szCs w:val="24"/>
          <w:lang w:val="en-GB"/>
        </w:rPr>
        <w:t>d</w:t>
      </w:r>
      <w:r w:rsidRPr="00883FC0">
        <w:rPr>
          <w:rFonts w:ascii="Arial" w:hAnsi="Arial" w:cs="Arial"/>
          <w:sz w:val="24"/>
          <w:szCs w:val="24"/>
          <w:lang w:val="en-GB"/>
        </w:rPr>
        <w:t xml:space="preserve"> the </w:t>
      </w:r>
      <w:r w:rsidR="0055134E" w:rsidRPr="00883FC0">
        <w:rPr>
          <w:rFonts w:ascii="Arial" w:hAnsi="Arial" w:cs="Arial"/>
          <w:sz w:val="24"/>
          <w:szCs w:val="24"/>
          <w:lang w:val="en-GB"/>
        </w:rPr>
        <w:t xml:space="preserve">species’ overall </w:t>
      </w:r>
      <w:r w:rsidRPr="00883FC0">
        <w:rPr>
          <w:rFonts w:ascii="Arial" w:hAnsi="Arial" w:cs="Arial"/>
          <w:sz w:val="24"/>
          <w:szCs w:val="24"/>
          <w:lang w:val="en-GB"/>
        </w:rPr>
        <w:t xml:space="preserve">abundance and </w:t>
      </w:r>
      <w:r w:rsidR="0055134E" w:rsidRPr="00883FC0">
        <w:rPr>
          <w:rFonts w:ascii="Arial" w:hAnsi="Arial" w:cs="Arial"/>
          <w:sz w:val="24"/>
          <w:szCs w:val="24"/>
          <w:lang w:val="en-GB"/>
        </w:rPr>
        <w:t xml:space="preserve">range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{"citationID":"wdsMJla9","properties":{"formattedCitation":"(Brambilla et al., 2022)","plainCitation":"(Brambilla et al., 2022)","noteIndex":0},"citationItems":[{"id":3131,"uris":["http://zotero.org/users/local/NciqjDvn/items/4WQ8EPXE"],"itemData":{"id":3131,"type":"chapter","abstract":"This comprehensive species</w:instrText>
      </w:r>
      <w:r w:rsidR="00991FDE" w:rsidRPr="00883FC0">
        <w:rPr>
          <w:rFonts w:ascii="Cambria Math" w:hAnsi="Cambria Math" w:cs="Cambria Math"/>
          <w:sz w:val="24"/>
          <w:szCs w:val="24"/>
          <w:lang w:val="en-GB"/>
        </w:rPr>
        <w:instrText>‑</w:instrText>
      </w:r>
      <w:r w:rsidR="00991FDE" w:rsidRPr="00883FC0">
        <w:rPr>
          <w:rFonts w:ascii="Arial" w:hAnsi="Arial" w:cs="Arial"/>
          <w:sz w:val="24"/>
          <w:szCs w:val="24"/>
          <w:lang w:val="en-GB"/>
        </w:rPr>
        <w:instrText xml:space="preserve">specific chapter covers all aspects of the biology of Alpine ibex Capra ibex, including paleontology, physiology, genetics, life history, ecology, habitat, diet, and behavior.","collection-title":"Handbook of the Mammals of Europe","container-title":"Terrestrial Cetartiodactyla","event-place":"Cham","ISBN":"978-3-030-24475-0","language":"en","note":"DOI: 10.1007/978-3-030-24475-0_32","page":"383-408","publisher":"Springer International Publishing","publisher-place":"Cham","source":"Springer Link","title":"Alpine Ibex &lt;i&gt; Capra ibex&lt;/i&gt;  Linnaeus, 1758","URL":"https://doi.org/10.1007/978-3-030-24475-0_32","author":[{"family":"Brambilla","given":"Alice"},{"family":"Bassano","given":"Bruno"},{"family":"Biebach","given":"Iris"},{"family":"Bollmann","given":"Kurt"},{"family":"Keller","given":"Lukas"},{"family":"Toïgo","given":"Carole"},{"family":"Hardenberg","given":"Achaz","non-dropping-particle":"von"}],"editor":[{"family":"Corlatti","given":"Luca"},{"family":"Zachos","given":"Frank E."}],"accessed":{"date-parts":[["2022",10,12]]},"issued":{"date-parts":[["2022"]]}}}],"schema":"https://github.com/citation-style-language/schema/raw/master/csl-citation.json"}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(Brambilla et al., 2022)</w:t>
      </w:r>
      <w:r w:rsidRPr="00883FC0">
        <w:rPr>
          <w:rFonts w:ascii="Arial" w:hAnsi="Arial" w:cs="Arial"/>
          <w:sz w:val="24"/>
          <w:szCs w:val="24"/>
          <w:lang w:val="en-GB"/>
        </w:rPr>
        <w:fldChar w:fldCharType="end"/>
      </w:r>
      <w:r w:rsidRPr="00883FC0">
        <w:rPr>
          <w:rFonts w:ascii="Arial" w:hAnsi="Arial" w:cs="Arial"/>
          <w:sz w:val="24"/>
          <w:szCs w:val="24"/>
          <w:lang w:val="en-GB"/>
        </w:rPr>
        <w:t>.</w:t>
      </w:r>
      <w:r w:rsidR="0055134E" w:rsidRPr="00883FC0">
        <w:rPr>
          <w:rFonts w:ascii="Arial" w:hAnsi="Arial" w:cs="Arial"/>
          <w:sz w:val="24"/>
          <w:szCs w:val="24"/>
          <w:lang w:val="en-GB"/>
        </w:rPr>
        <w:t xml:space="preserve"> Today</w:t>
      </w:r>
      <w:r w:rsidRPr="00883FC0">
        <w:rPr>
          <w:rFonts w:ascii="Arial" w:hAnsi="Arial" w:cs="Arial"/>
          <w:sz w:val="24"/>
          <w:szCs w:val="24"/>
          <w:lang w:val="en-GB"/>
        </w:rPr>
        <w:t>,</w:t>
      </w:r>
      <w:r w:rsidR="00325F10" w:rsidRPr="00883FC0">
        <w:rPr>
          <w:rFonts w:ascii="Arial" w:hAnsi="Arial" w:cs="Arial"/>
          <w:sz w:val="24"/>
          <w:szCs w:val="24"/>
          <w:lang w:val="en-GB"/>
        </w:rPr>
        <w:t xml:space="preserve"> </w:t>
      </w:r>
      <w:r w:rsidR="0055134E" w:rsidRPr="00883FC0">
        <w:rPr>
          <w:rFonts w:ascii="Arial" w:hAnsi="Arial" w:cs="Arial"/>
          <w:sz w:val="24"/>
          <w:szCs w:val="24"/>
          <w:lang w:val="en-GB"/>
        </w:rPr>
        <w:t>the</w:t>
      </w:r>
      <w:r w:rsidRPr="00883FC0">
        <w:rPr>
          <w:rFonts w:ascii="Arial" w:hAnsi="Arial" w:cs="Arial"/>
          <w:sz w:val="24"/>
          <w:szCs w:val="24"/>
          <w:lang w:val="en-GB"/>
        </w:rPr>
        <w:t xml:space="preserve"> Alpine ibex</w:t>
      </w:r>
      <w:r w:rsidR="00432E86" w:rsidRPr="00883FC0">
        <w:rPr>
          <w:rFonts w:ascii="Arial" w:hAnsi="Arial" w:cs="Arial"/>
          <w:sz w:val="24"/>
          <w:szCs w:val="24"/>
          <w:lang w:val="en-GB"/>
        </w:rPr>
        <w:t xml:space="preserve"> population</w:t>
      </w:r>
      <w:r w:rsidRPr="00883FC0">
        <w:rPr>
          <w:rFonts w:ascii="Arial" w:hAnsi="Arial" w:cs="Arial"/>
          <w:sz w:val="24"/>
          <w:szCs w:val="24"/>
          <w:lang w:val="en-GB"/>
        </w:rPr>
        <w:t xml:space="preserve"> is estimated </w:t>
      </w:r>
      <w:r w:rsidR="0055134E" w:rsidRPr="00883FC0">
        <w:rPr>
          <w:rFonts w:ascii="Arial" w:hAnsi="Arial" w:cs="Arial"/>
          <w:sz w:val="24"/>
          <w:szCs w:val="24"/>
          <w:lang w:val="en-GB"/>
        </w:rPr>
        <w:t>at</w:t>
      </w:r>
      <w:r w:rsidRPr="00883FC0">
        <w:rPr>
          <w:rFonts w:ascii="Arial" w:hAnsi="Arial" w:cs="Arial"/>
          <w:sz w:val="24"/>
          <w:szCs w:val="24"/>
          <w:lang w:val="en-GB"/>
        </w:rPr>
        <w:t xml:space="preserve"> 52 000 individuals in Europe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{"citationID":"vqPXSC21","properties":{"formattedCitation":"(Brambilla et al., 2020)","plainCitation":"(Brambilla et al., 2020)","noteIndex":0},"citationItems":[{"id":2804,"uris":["http://zotero.org/users/local/NciqjDvn/items/HSP8GDYV"],"itemData":{"id":2804,"type":"article-journal","abstract":"Despite its recent successful and well-documented reintroduction history, a comprehensive and current update of the distribution and status of the Alpine ibex Capra ibex is lacking. As some concerns persist about its conservation, a status update appears essential for future conservation and management strategies on a large scale. We provide an exhaustive update of the geographic range of the species, alongside estimates of its current abundance and population trends from 2004 to 2015. We gathered census and distribution data for all the Alpine ibex colonies from management authorities and research groups that monitor them in different countries, and from the literature and publicly available reports. We produced a distribution map, reported the number of individuals observed in the most recent censuses, and estimated global, national, and local population trends using Bayesian hierarchical models. Our model estimated that there were a total of 55297 Alpine ibex in the Alps in 2015 (lower 95% credible interval [CrI]: 51157; upper 95% CrI: 62710). The total number of individuals appears to have increased slightly over the last 10 years from the 47000-51000 estimated in previous reports. Positive population trends were observed in Switzerland and Italy, while no trend was apparent in France. For Austria, Germany, and Slovenia, there were insufficient data to estimate a trend. The slopes of the colonies’ trends were positively correlated with the year of colony foundation. The geographic range of the Alpine ibex does not seem to have increased in size in recent years, although the accuracy of the spatial data varies among countries. The periodic and standardised collection of census data for all colonies and a common policy of data sharing at a European level appear essential for monitoring the global trend of this species and for planning balanced conservation and management actions.","container-title":"Mammal Review","DOI":"10.1111/mam.12194","ISSN":"1365-2907","issue":"3","language":"en","note":"_eprint: https://onlinelibrary.wiley.com/doi/pdf/10.1111/mam.12194","page":"267-277","source":"Wiley Online Library","title":"Distribution, status, and recent population dynamics of Alpine ibex &lt;i&gt; Capra ibex&lt;/i&gt;  in Europe","volume":"50","author":[{"family":"Brambilla","given":"Alice"},{"family":"Von Hardenberg","given":"Achaz"},{"family":"Nelli","given":"Luca"},{"family":"Bassano","given":"Bruno"}],"issued":{"date-parts":[["2020"]]}}}],"schema":"https://github.com/citation-style-language/schema/raw/master/csl-citation.json"}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(Brambilla et al., 2020)</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p>
    <w:p w14:paraId="5A20C980" w14:textId="5970AEDE" w:rsidR="00685709" w:rsidRPr="00883FC0" w:rsidRDefault="00521D6E"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Ibex usually host species-specific gastrointestinal nematodes</w:t>
      </w:r>
      <w:r w:rsidR="00EA09AC" w:rsidRPr="00883FC0">
        <w:rPr>
          <w:rFonts w:ascii="Arial" w:hAnsi="Arial" w:cs="Arial"/>
          <w:sz w:val="24"/>
          <w:szCs w:val="24"/>
          <w:lang w:val="en-GB"/>
        </w:rPr>
        <w:t xml:space="preserve"> </w:t>
      </w:r>
      <w:r w:rsidR="00EA09AC" w:rsidRPr="00883FC0">
        <w:rPr>
          <w:rFonts w:ascii="Arial" w:hAnsi="Arial" w:cs="Arial"/>
          <w:sz w:val="24"/>
          <w:szCs w:val="24"/>
          <w:lang w:val="en-GB"/>
        </w:rPr>
        <w:fldChar w:fldCharType="begin"/>
      </w:r>
      <w:r w:rsidR="00EA09AC" w:rsidRPr="00883FC0">
        <w:rPr>
          <w:rFonts w:ascii="Arial" w:hAnsi="Arial" w:cs="Arial"/>
          <w:sz w:val="24"/>
          <w:szCs w:val="24"/>
          <w:lang w:val="en-GB"/>
        </w:rPr>
        <w:instrText xml:space="preserve"> ADDIN ZOTERO_ITEM CSL_CITATION {"citationID":"39iVKPij","properties":{"formattedCitation":"(Walker and Morgan, 2014)","plainCitation":"(Walker and Morgan, 2014)","noteIndex":0},"citationItems":[{"id":621,"uris":["http://zotero.org/users/local/NciqjDvn/items/IAKA29TI"],"itemData":{"id":621,"type":"article-journal","abstract":"Many parasitic nematode species are generalists capable of infecting multiple host species. The complex life cycle of nematodes, involving partial development outside of the host, facilitates transmission of these parasites between host species even when there is no direct contact between hosts. Infective nematode larvae persist in the environment, and where grazing or water sources are shared ingestion of parasite larvae deposited by different host species is likely. In this paper we examine the extent to which nematode parasite species have been observed in sympatric wild and domestic ungulates. First, using existing host–parasite databases, we describe expected overlap of 412 nematode species between 76 wild and 8 domestic ungulate host species. Our results indicate that host-specific parasites make up less than half of the nematode parasites infecting any particular ungulate host species. For wild host species, between 14% (for common warthog) and 76% (for mouflon) of parasitic nematode species are shared with domestic species. For domestic host species, between 42% (for horse) and 77% (for llamas/alpacas) of parasitic nematode species are shared with wild species. We also present an index of liability to describe the risk of cross-boundary parasites to each host species. We then examine specific examples from the literature in which transmission of nematode parasites between domestic and wild ungulates is described. However, there are many limitations in the existing data due to geographical bias and certain host species being studied more frequently than others. Although we demonstrate that many species of parasitic nematode are found in both wild and domestic hosts, little work has been done to demonstrate whether transmission is occurring between species or whether similar strains circulate separately. Additional research on cross-species transmission, including the use of models and of genetic methods to define strains, will provide evidence to answer this question.","container-title":"International Journal for Parasitology: Parasites and Wildlife","DOI":"10.1016/j.ijppaw.2014.08.001","ISSN":"2213-2244","issue":"3","journalAbbreviation":"Int. J. Parasitol. Parasites Wildl.","language":"en","page":"242-250","source":"ScienceDirect","title":"Generalists at the interface: nematode transmission between wild and domestic ungulates","title-short":"Generalists at the interface","volume":"3","author":[{"family":"Walker","given":"Josephine G."},{"family":"Morgan","given":"Eric R."}],"issued":{"date-parts":[["2014",12,1]]}}}],"schema":"https://github.com/citation-style-language/schema/raw/master/csl-citation.json"} </w:instrText>
      </w:r>
      <w:r w:rsidR="00EA09AC" w:rsidRPr="00883FC0">
        <w:rPr>
          <w:rFonts w:ascii="Arial" w:hAnsi="Arial" w:cs="Arial"/>
          <w:sz w:val="24"/>
          <w:szCs w:val="24"/>
          <w:lang w:val="en-GB"/>
        </w:rPr>
        <w:fldChar w:fldCharType="separate"/>
      </w:r>
      <w:r w:rsidR="00EA09AC" w:rsidRPr="00883FC0">
        <w:rPr>
          <w:rFonts w:ascii="Arial" w:hAnsi="Arial" w:cs="Arial"/>
          <w:sz w:val="24"/>
          <w:lang w:val="en-US"/>
        </w:rPr>
        <w:t>(Walker and Morgan, 2014)</w:t>
      </w:r>
      <w:r w:rsidR="00EA09AC" w:rsidRPr="00883FC0">
        <w:rPr>
          <w:rFonts w:ascii="Arial" w:hAnsi="Arial" w:cs="Arial"/>
          <w:sz w:val="24"/>
          <w:szCs w:val="24"/>
          <w:lang w:val="en-GB"/>
        </w:rPr>
        <w:fldChar w:fldCharType="end"/>
      </w:r>
      <w:r w:rsidRPr="00883FC0">
        <w:rPr>
          <w:rFonts w:ascii="Arial" w:hAnsi="Arial" w:cs="Arial"/>
          <w:sz w:val="24"/>
          <w:szCs w:val="24"/>
          <w:lang w:val="en-GB"/>
        </w:rPr>
        <w:t xml:space="preserve"> but they may also be exposed to generalist nematodes deposited by other related ungulate (i.e., Northern chamois, </w:t>
      </w:r>
      <w:r w:rsidRPr="00883FC0">
        <w:rPr>
          <w:rFonts w:ascii="Arial" w:hAnsi="Arial" w:cs="Arial"/>
          <w:i/>
          <w:sz w:val="24"/>
          <w:szCs w:val="24"/>
          <w:lang w:val="en-GB"/>
        </w:rPr>
        <w:t>Rupicapra rupicapra</w:t>
      </w:r>
      <w:r w:rsidRPr="00883FC0">
        <w:rPr>
          <w:rFonts w:ascii="Arial" w:hAnsi="Arial" w:cs="Arial"/>
          <w:sz w:val="24"/>
          <w:szCs w:val="24"/>
          <w:lang w:val="en-GB"/>
        </w:rPr>
        <w:t xml:space="preserve">) or domestic </w:t>
      </w:r>
      <w:r w:rsidR="00432E86" w:rsidRPr="00883FC0">
        <w:rPr>
          <w:rFonts w:ascii="Arial" w:hAnsi="Arial" w:cs="Arial"/>
          <w:sz w:val="24"/>
          <w:szCs w:val="24"/>
          <w:lang w:val="en-GB"/>
        </w:rPr>
        <w:t xml:space="preserve">species </w:t>
      </w:r>
      <w:r w:rsidRPr="00883FC0">
        <w:rPr>
          <w:rFonts w:ascii="Arial" w:hAnsi="Arial" w:cs="Arial"/>
          <w:sz w:val="24"/>
          <w:szCs w:val="24"/>
          <w:lang w:val="en-GB"/>
        </w:rPr>
        <w:t>(e.g., sheep). Furthermore, anthelmintic treatments are frequently applied to livestock by farmers</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to</w:t>
      </w:r>
      <w:r w:rsidRPr="00883FC0">
        <w:rPr>
          <w:rFonts w:ascii="Arial" w:hAnsi="Arial" w:cs="Arial"/>
          <w:sz w:val="24"/>
          <w:szCs w:val="24"/>
          <w:lang w:val="en-GB"/>
        </w:rPr>
        <w:t xml:space="preserve"> reduc</w:t>
      </w:r>
      <w:r w:rsidR="002237AC">
        <w:rPr>
          <w:rFonts w:ascii="Arial" w:hAnsi="Arial" w:cs="Arial"/>
          <w:sz w:val="24"/>
          <w:szCs w:val="24"/>
          <w:lang w:val="en-GB"/>
        </w:rPr>
        <w:t>e</w:t>
      </w:r>
      <w:r w:rsidRPr="00883FC0">
        <w:rPr>
          <w:rFonts w:ascii="Arial" w:hAnsi="Arial" w:cs="Arial"/>
          <w:sz w:val="24"/>
          <w:szCs w:val="24"/>
          <w:lang w:val="en-GB"/>
        </w:rPr>
        <w:t xml:space="preserve"> parasite load and </w:t>
      </w:r>
      <w:r w:rsidR="002237AC" w:rsidRPr="002237AC">
        <w:rPr>
          <w:rFonts w:ascii="Arial" w:hAnsi="Arial" w:cs="Arial"/>
          <w:sz w:val="24"/>
          <w:szCs w:val="24"/>
          <w:highlight w:val="yellow"/>
          <w:lang w:val="en-GB"/>
        </w:rPr>
        <w:t>consequently</w:t>
      </w:r>
      <w:r w:rsidRPr="00883FC0">
        <w:rPr>
          <w:rFonts w:ascii="Arial" w:hAnsi="Arial" w:cs="Arial"/>
          <w:sz w:val="24"/>
          <w:szCs w:val="24"/>
          <w:lang w:val="en-GB"/>
        </w:rPr>
        <w:t xml:space="preserve"> the diversity of nematodes in sheep. Therefore, </w:t>
      </w:r>
      <w:bookmarkStart w:id="5" w:name="_Hlk161820180"/>
      <w:r w:rsidR="00405FEC" w:rsidRPr="00883FC0">
        <w:rPr>
          <w:rFonts w:ascii="Arial" w:hAnsi="Arial" w:cs="Arial"/>
          <w:sz w:val="24"/>
          <w:szCs w:val="24"/>
          <w:lang w:val="en-GB"/>
        </w:rPr>
        <w:t>we expected</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significant differentiation in</w:t>
      </w:r>
      <w:r w:rsidR="00405FEC" w:rsidRPr="00883FC0">
        <w:rPr>
          <w:rFonts w:ascii="Arial" w:hAnsi="Arial" w:cs="Arial"/>
          <w:sz w:val="24"/>
          <w:szCs w:val="24"/>
          <w:lang w:val="en-GB"/>
        </w:rPr>
        <w:t xml:space="preserve"> the nemabiome between the two species </w:t>
      </w:r>
      <w:r w:rsidR="002237AC" w:rsidRPr="002237AC">
        <w:rPr>
          <w:rFonts w:ascii="Arial" w:hAnsi="Arial" w:cs="Arial"/>
          <w:sz w:val="24"/>
          <w:szCs w:val="24"/>
          <w:highlight w:val="yellow"/>
          <w:lang w:val="en-GB"/>
        </w:rPr>
        <w:t>across the</w:t>
      </w:r>
      <w:r w:rsidR="002237AC">
        <w:rPr>
          <w:rFonts w:ascii="Arial" w:hAnsi="Arial" w:cs="Arial"/>
          <w:sz w:val="24"/>
          <w:szCs w:val="24"/>
          <w:lang w:val="en-GB"/>
        </w:rPr>
        <w:t xml:space="preserve"> </w:t>
      </w:r>
      <w:r w:rsidR="00405FEC" w:rsidRPr="00883FC0">
        <w:rPr>
          <w:rFonts w:ascii="Arial" w:hAnsi="Arial" w:cs="Arial"/>
          <w:sz w:val="24"/>
          <w:szCs w:val="24"/>
          <w:lang w:val="en-GB"/>
        </w:rPr>
        <w:t xml:space="preserve">three </w:t>
      </w:r>
      <w:r w:rsidR="00432E86" w:rsidRPr="00883FC0">
        <w:rPr>
          <w:rFonts w:ascii="Arial" w:hAnsi="Arial" w:cs="Arial"/>
          <w:sz w:val="24"/>
          <w:szCs w:val="24"/>
          <w:lang w:val="en-GB"/>
        </w:rPr>
        <w:t xml:space="preserve">studied </w:t>
      </w:r>
      <w:r w:rsidR="00405FEC" w:rsidRPr="00883FC0">
        <w:rPr>
          <w:rFonts w:ascii="Arial" w:hAnsi="Arial" w:cs="Arial"/>
          <w:sz w:val="24"/>
          <w:szCs w:val="24"/>
          <w:lang w:val="en-GB"/>
        </w:rPr>
        <w:t xml:space="preserve">mountain areas, with higher nematode diversity in ibex compared to sheep </w:t>
      </w:r>
      <w:bookmarkEnd w:id="5"/>
      <w:r w:rsidR="00CB3D21" w:rsidRPr="00883FC0">
        <w:rPr>
          <w:rFonts w:ascii="Arial" w:hAnsi="Arial" w:cs="Arial"/>
          <w:sz w:val="24"/>
          <w:szCs w:val="24"/>
          <w:lang w:val="en-GB"/>
        </w:rPr>
        <w:t>(H1)</w:t>
      </w:r>
      <w:r w:rsidR="00685709" w:rsidRPr="00883FC0">
        <w:rPr>
          <w:rFonts w:ascii="Arial" w:hAnsi="Arial" w:cs="Arial"/>
          <w:sz w:val="24"/>
          <w:szCs w:val="24"/>
          <w:lang w:val="en-GB"/>
        </w:rPr>
        <w:t>. We</w:t>
      </w:r>
      <w:r w:rsidR="002237AC">
        <w:rPr>
          <w:rFonts w:ascii="Arial" w:hAnsi="Arial" w:cs="Arial"/>
          <w:sz w:val="24"/>
          <w:szCs w:val="24"/>
          <w:lang w:val="en-GB"/>
        </w:rPr>
        <w:t xml:space="preserve"> </w:t>
      </w:r>
      <w:r w:rsidR="002237AC" w:rsidRPr="002237AC">
        <w:rPr>
          <w:rFonts w:ascii="Arial" w:hAnsi="Arial" w:cs="Arial"/>
          <w:sz w:val="24"/>
          <w:szCs w:val="24"/>
          <w:highlight w:val="yellow"/>
          <w:lang w:val="en-GB"/>
        </w:rPr>
        <w:t>also</w:t>
      </w:r>
      <w:r w:rsidR="00685709" w:rsidRPr="00883FC0">
        <w:rPr>
          <w:rFonts w:ascii="Arial" w:hAnsi="Arial" w:cs="Arial"/>
          <w:sz w:val="24"/>
          <w:szCs w:val="24"/>
          <w:lang w:val="en-GB"/>
        </w:rPr>
        <w:t xml:space="preserve"> expect</w:t>
      </w:r>
      <w:r w:rsidR="00325F10" w:rsidRPr="00883FC0">
        <w:rPr>
          <w:rFonts w:ascii="Arial" w:hAnsi="Arial" w:cs="Arial"/>
          <w:sz w:val="24"/>
          <w:szCs w:val="24"/>
          <w:lang w:val="en-GB"/>
        </w:rPr>
        <w:t>ed</w:t>
      </w:r>
      <w:r w:rsidR="00685709" w:rsidRPr="00883FC0">
        <w:rPr>
          <w:rFonts w:ascii="Arial" w:hAnsi="Arial" w:cs="Arial"/>
          <w:sz w:val="24"/>
          <w:szCs w:val="24"/>
          <w:lang w:val="en-GB"/>
        </w:rPr>
        <w:t xml:space="preserve"> sheep to host benzimidazole-resistant strains</w:t>
      </w:r>
      <w:r w:rsidR="0055134E" w:rsidRPr="00883FC0">
        <w:rPr>
          <w:rFonts w:ascii="Arial" w:hAnsi="Arial" w:cs="Arial"/>
          <w:sz w:val="24"/>
          <w:szCs w:val="24"/>
          <w:lang w:val="en-GB"/>
        </w:rPr>
        <w:t xml:space="preserve"> of gastrointestinal nematode</w:t>
      </w:r>
      <w:r w:rsidR="00432E86" w:rsidRPr="00883FC0">
        <w:rPr>
          <w:rFonts w:ascii="Arial" w:hAnsi="Arial" w:cs="Arial"/>
          <w:sz w:val="24"/>
          <w:szCs w:val="24"/>
          <w:lang w:val="en-GB"/>
        </w:rPr>
        <w:t>s</w:t>
      </w:r>
      <w:r w:rsidR="00685709" w:rsidRPr="00883FC0">
        <w:rPr>
          <w:rFonts w:ascii="Arial" w:hAnsi="Arial" w:cs="Arial"/>
          <w:sz w:val="24"/>
          <w:szCs w:val="24"/>
          <w:lang w:val="en-GB"/>
        </w:rPr>
        <w:t>,</w:t>
      </w:r>
      <w:r w:rsidR="00BD78E8" w:rsidRPr="00883FC0">
        <w:rPr>
          <w:rFonts w:ascii="Arial" w:hAnsi="Arial" w:cs="Arial"/>
          <w:sz w:val="24"/>
          <w:szCs w:val="24"/>
          <w:lang w:val="en-GB"/>
        </w:rPr>
        <w:t xml:space="preserve"> </w:t>
      </w:r>
      <w:r w:rsidR="002237AC" w:rsidRPr="002237AC">
        <w:rPr>
          <w:rFonts w:ascii="Arial" w:hAnsi="Arial" w:cs="Arial"/>
          <w:sz w:val="24"/>
          <w:szCs w:val="24"/>
          <w:highlight w:val="yellow"/>
          <w:lang w:val="en-GB"/>
        </w:rPr>
        <w:t>consistent</w:t>
      </w:r>
      <w:r w:rsidR="00685709" w:rsidRPr="00883FC0" w:rsidDel="006F21C0">
        <w:rPr>
          <w:rFonts w:ascii="Arial" w:hAnsi="Arial" w:cs="Arial"/>
          <w:sz w:val="24"/>
          <w:szCs w:val="24"/>
          <w:lang w:val="en-GB"/>
        </w:rPr>
        <w:t xml:space="preserve"> </w:t>
      </w:r>
      <w:r w:rsidR="00685709" w:rsidRPr="00883FC0">
        <w:rPr>
          <w:rFonts w:ascii="Arial" w:hAnsi="Arial" w:cs="Arial"/>
          <w:sz w:val="24"/>
          <w:szCs w:val="24"/>
          <w:lang w:val="en-GB"/>
        </w:rPr>
        <w:t xml:space="preserve">with the </w:t>
      </w:r>
      <w:r w:rsidR="00685709" w:rsidRPr="00883FC0">
        <w:rPr>
          <w:rFonts w:ascii="Arial" w:hAnsi="Arial" w:cs="Arial"/>
          <w:sz w:val="24"/>
          <w:szCs w:val="24"/>
          <w:lang w:val="en-GB"/>
        </w:rPr>
        <w:lastRenderedPageBreak/>
        <w:t xml:space="preserve">general pattern observed for sheep in France </w:t>
      </w:r>
      <w:r w:rsidR="00685709"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{"citationID":"uADfC3Cj","properties":{"formattedCitation":"(Papadopoulos et al., 2012; Rose Vineer et al., 2020)","plainCitation":"(Papadopoulos et al., 2012; Rose Vineer et al., 2020)","noteIndex":0},"citationItems":[{"id":2848,"uris":["http://zotero.org/users/local/NciqjDvn/items/ZR9H67M6"],"itemData":{"id":2848,"type":"article-journal","abstract":"Intensive use of anthelmintics to control gastrointestinal nematodes selects for anthelmintic resistance, which has become an important issue in many European countries. Presence of nematode strains resistant to benzimidazoles, imidazothiazoles and/or macrocyclic lactones has been repeatedly reported, particularly for the three most important genera, Haemonchus, Teladorsagia and Trichostrongylus. Additionally, multiple drug-resistant populations of these parasites have also been detected. Examples are given for the situation in European countries with differing climatic conditions and management systems of small ruminants. The widespread emergence of multi-resistant nematodes proves that the past intensive suppressive chemical control strategies may not be a successful approach any longer. Experience from the up to now development of anthelmintic resistance suggests that modern control schemes should not rely on sole use of anthelmintics, but employ other, more complex and sustainable recipes, combing chemical, environmental and immunological control.","collection-title":"Special issue: Update on Parasitic Diseases of Sheep","container-title":"Veterinary Parasitology","DOI":"10.1016/j.vetpar.2012.03.036","ISSN":"0304-4017","issue":"1","journalAbbreviation":"Veterinary Parasitology","language":"en","page":"85-88","source":"ScienceDirect","title":"Anthelmintic resistance in sheep in Europe: a selected review","title-short":"Anthelmintic resistance in sheep in Europe","volume":"189","author":[{"family":"Papadopoulos","given":"E."},{"family":"Gallidis","given":"E."},{"family":"Ptochos","given":"S."}],"issued":{"date-parts":[["2012",9,30]]}}},{"id":3631,"uris":["http://zotero.org/users/local/NciqjDvn/items/2EVWIP8N"],"itemData":{"id":3631,"type":"article-journal","abstract":"Helminth infections are ubiquitous in grazing ruminant production systems, and are responsible for significant costs and production losses. Anthelmintic Resistance (AR) in parasites is now widespread throughout Europe, although there are still gaps in our knowledge in some regions and countries. AR is a major threat to the sustainability of modern ruminant livestock production, resulting in reduced productivity, compromised animal health and welfare, and increased greenhouse gas emissions through increased parasitism and farm inputs. A better understanding of the extent of AR in Europe is needed to develop and advocate more sustainable parasite control approaches. A database of European published and unpublished AR research on gastrointestinal nematodes (GIN) and liver fluke (Fasciola hepatica) was collated by members of the European COST Action “COMBAR” (Combatting Anthelmintic Resistance in Ruminants), and combined with data from a previous systematic review of AR in GIN. A total of 197 publications on AR in GIN were available for analysis, representing 535 studies in 22 countries and spanning the period 1980–2020. Reports of AR were present throughout the European continent and some reports indicated high within-country prevalence. Heuristic sample size-weighted estimates of European AR prevalence over the whole study period, stratified by anthelmintic class, varied between 0 and 48%. Estimated regional (country) prevalence was highly heterogeneous, ranging between 0% and 100% depending on livestock sector and anthelmintic class, and generally increased with increasing research effort in a country. In the few countries with adequate longitudinal data, there was a tendency towards increasing AR over time for all anthelmintic classes in GIN: aggregated results in sheep and goats since 2010 reveal an average prevalence of resistance to benzimidazoles (BZ) of 86%, macrocyclic lactones except moxidectin (ML) 52%, levamisole (LEV) 48%, and moxidectin (MOX) 21%. All major GIN genera survived treatment in various studies. In cattle, prevalence of AR varied between anthelmintic classes from 0–100% (BZ and ML), 0–17% (LEV) and 0–73% (MOX), and both Cooperia and Ostertagia survived treatment. Suspected AR in F. hepatica was reported in 21 studies spanning 6 countries. For GIN and particularly F. hepatica, there was a bias towards preferential sampling of individual farms with suspected AR, and research effort was biased towards Western Europe and particularly the United Kingdom. Ongoing capture of future results in the live database, efforts to avoid bias in farm recruitment, more accurate tests for AR, and stronger appreciation of the importance of AR among the agricultural industry and policy makers, will support more sophisticated analyses of factors contributing to AR and effective strategies to slow its spread.","container-title":"Parasite","DOI":"10.1051/parasite/2020062","ISSN":"1252-607X","journalAbbreviation":"Parasite","note":"PMID: 33277891\nPMCID: PMC7718593","page":"69","source":"PubMed Central","title":"Increasing importance of anthelmintic resistance in European livestock: creation and meta-analysis of an open database","title-short":"Increasing importance of anthelmintic resistance in European livestock","volume":"27","author":[{"family":"Rose Vineer","given":"Hannah"},{"family":"Morgan","given":"Eric R."},{"family":"Hertzberg","given":"Hubertus"},{"family":"Bartley","given":"David J."},{"family":"Bosco","given":"Antonio"},{"family":"Charlier","given":"Johannes"},{"family":"Chartier","given":"Christophe"},{"family":"Claerebout","given":"Edwin"},{"family":"Waal","given":"Theo","non-dropping-particle":"de"},{"family":"Hendrickx","given":"Guy"},{"family":"Hinney","given":"Barbara"},{"family":"Höglund","given":"Johan"},{"family":"Ježek","given":"Jožica"},{"family":"Kašný","given":"Martin"},{"family":"Keane","given":"Orla M."},{"family":"Martínez-Valladares","given":"María"},{"family":"Mateus","given":"Teresa Letra"},{"family":"McIntyre","given":"Jennifer"},{"family":"Mickiewicz","given":"Marcin"},{"family":"Munoz","given":"Ana Maria"},{"family":"Phythian","given":"Clare Joan"},{"family":"Ploeger","given":"Harm W."},{"family":"Rataj","given":"Aleksandra Vergles"},{"family":"Skuce","given":"Philip J."},{"family":"Simin","given":"Stanislav"},{"family":"Sotiraki","given":"Smaragda"},{"family":"Spinu","given":"Marina"},{"family":"Stuen","given":"Snorre"},{"family":"Thamsborg","given":"Stig Milan"},{"family":"Vadlejch","given":"Jaroslav"},{"family":"Varady","given":"Marian"},{"family":"Samson-Himmelstjerna","given":"Georg","non-dropping-particle":"von"},{"family":"Rinaldi","given":"Laura"}],"issued":{"date-parts":[["2020"]]}}}],"schema":"https://github.com/citation-style-language/schema/raw/master/csl-citation.json"} </w:instrText>
      </w:r>
      <w:r w:rsidR="00685709" w:rsidRPr="00883FC0">
        <w:rPr>
          <w:rFonts w:ascii="Arial" w:hAnsi="Arial" w:cs="Arial"/>
          <w:sz w:val="24"/>
          <w:szCs w:val="24"/>
          <w:lang w:val="en-GB"/>
        </w:rPr>
        <w:fldChar w:fldCharType="separate"/>
      </w:r>
      <w:r w:rsidR="00991FDE" w:rsidRPr="00883FC0">
        <w:rPr>
          <w:rFonts w:ascii="Arial" w:hAnsi="Arial" w:cs="Arial"/>
          <w:sz w:val="24"/>
          <w:lang w:val="en-US"/>
        </w:rPr>
        <w:t>(Papadopoulos et al., 2012; Rose Vineer et al., 2020)</w:t>
      </w:r>
      <w:r w:rsidR="00685709" w:rsidRPr="00883FC0">
        <w:rPr>
          <w:rFonts w:ascii="Arial" w:hAnsi="Arial" w:cs="Arial"/>
          <w:sz w:val="24"/>
          <w:szCs w:val="24"/>
          <w:lang w:val="en-GB"/>
        </w:rPr>
        <w:fldChar w:fldCharType="end"/>
      </w:r>
      <w:r w:rsidR="00685709" w:rsidRPr="00883FC0">
        <w:rPr>
          <w:rFonts w:ascii="Arial" w:hAnsi="Arial" w:cs="Arial"/>
          <w:sz w:val="24"/>
          <w:szCs w:val="24"/>
          <w:lang w:val="en-GB"/>
        </w:rPr>
        <w:t xml:space="preserve">. </w:t>
      </w:r>
      <w:r w:rsidR="002237AC" w:rsidRPr="002237AC">
        <w:rPr>
          <w:rFonts w:ascii="Arial" w:hAnsi="Arial" w:cs="Arial"/>
          <w:sz w:val="24"/>
          <w:szCs w:val="24"/>
          <w:highlight w:val="yellow"/>
          <w:lang w:val="en-GB"/>
        </w:rPr>
        <w:t>Thanks to</w:t>
      </w:r>
      <w:r w:rsidR="002237AC">
        <w:rPr>
          <w:rFonts w:ascii="Arial" w:hAnsi="Arial" w:cs="Arial"/>
          <w:sz w:val="24"/>
          <w:szCs w:val="24"/>
          <w:lang w:val="en-GB"/>
        </w:rPr>
        <w:t xml:space="preserve"> </w:t>
      </w:r>
      <w:r w:rsidR="00685709" w:rsidRPr="00883FC0">
        <w:rPr>
          <w:rFonts w:ascii="Arial" w:hAnsi="Arial" w:cs="Arial"/>
          <w:sz w:val="24"/>
          <w:szCs w:val="24"/>
          <w:lang w:val="en-GB"/>
        </w:rPr>
        <w:t xml:space="preserve">the reintroduction programs </w:t>
      </w:r>
      <w:r w:rsidR="00BD78E8" w:rsidRPr="00883FC0">
        <w:rPr>
          <w:rFonts w:ascii="Arial" w:hAnsi="Arial" w:cs="Arial"/>
          <w:sz w:val="24"/>
          <w:szCs w:val="24"/>
          <w:lang w:val="en-GB"/>
        </w:rPr>
        <w:t>in</w:t>
      </w:r>
      <w:r w:rsidR="00685709" w:rsidRPr="00883FC0">
        <w:rPr>
          <w:rFonts w:ascii="Arial" w:hAnsi="Arial" w:cs="Arial"/>
          <w:sz w:val="24"/>
          <w:szCs w:val="24"/>
          <w:lang w:val="en-GB"/>
        </w:rPr>
        <w:t xml:space="preserve"> the second half of the 20</w:t>
      </w:r>
      <w:r w:rsidR="00685709" w:rsidRPr="00883FC0">
        <w:rPr>
          <w:rFonts w:ascii="Arial" w:hAnsi="Arial" w:cs="Arial"/>
          <w:sz w:val="24"/>
          <w:szCs w:val="24"/>
          <w:vertAlign w:val="superscript"/>
          <w:lang w:val="en-GB"/>
        </w:rPr>
        <w:t>th</w:t>
      </w:r>
      <w:r w:rsidR="00685709" w:rsidRPr="00883FC0">
        <w:rPr>
          <w:rFonts w:ascii="Arial" w:hAnsi="Arial" w:cs="Arial"/>
          <w:sz w:val="24"/>
          <w:szCs w:val="24"/>
          <w:lang w:val="en-GB"/>
        </w:rPr>
        <w:t xml:space="preserve"> century, ibex colonized pastures traditionally grazed by sheep. </w:t>
      </w:r>
      <w:r w:rsidR="002237AC" w:rsidRPr="002237AC">
        <w:rPr>
          <w:rFonts w:ascii="Arial" w:hAnsi="Arial" w:cs="Arial"/>
          <w:sz w:val="24"/>
          <w:szCs w:val="24"/>
          <w:highlight w:val="yellow"/>
          <w:lang w:val="en-GB"/>
        </w:rPr>
        <w:t>Consequently,</w:t>
      </w:r>
      <w:r w:rsidR="00685709" w:rsidRPr="002237AC">
        <w:rPr>
          <w:rFonts w:ascii="Arial" w:hAnsi="Arial" w:cs="Arial"/>
          <w:sz w:val="24"/>
          <w:szCs w:val="24"/>
          <w:highlight w:val="yellow"/>
          <w:lang w:val="en-GB"/>
        </w:rPr>
        <w:t xml:space="preserve"> </w:t>
      </w:r>
      <w:r w:rsidR="002237AC" w:rsidRPr="002237AC">
        <w:rPr>
          <w:rFonts w:ascii="Arial" w:hAnsi="Arial" w:cs="Arial"/>
          <w:sz w:val="24"/>
          <w:szCs w:val="24"/>
          <w:highlight w:val="yellow"/>
          <w:lang w:val="en-GB"/>
        </w:rPr>
        <w:t>we</w:t>
      </w:r>
      <w:r w:rsidR="002237AC">
        <w:rPr>
          <w:rFonts w:ascii="Arial" w:hAnsi="Arial" w:cs="Arial"/>
          <w:sz w:val="24"/>
          <w:szCs w:val="24"/>
          <w:lang w:val="en-GB"/>
        </w:rPr>
        <w:t xml:space="preserve"> </w:t>
      </w:r>
      <w:r w:rsidR="00685709" w:rsidRPr="00883FC0">
        <w:rPr>
          <w:rFonts w:ascii="Arial" w:hAnsi="Arial" w:cs="Arial"/>
          <w:sz w:val="24"/>
          <w:szCs w:val="24"/>
          <w:lang w:val="en-GB"/>
        </w:rPr>
        <w:t>expect</w:t>
      </w:r>
      <w:r w:rsidR="00325F10" w:rsidRPr="00883FC0">
        <w:rPr>
          <w:rFonts w:ascii="Arial" w:hAnsi="Arial" w:cs="Arial"/>
          <w:sz w:val="24"/>
          <w:szCs w:val="24"/>
          <w:lang w:val="en-GB"/>
        </w:rPr>
        <w:t>ed</w:t>
      </w:r>
      <w:r w:rsidR="00685709" w:rsidRPr="00883FC0">
        <w:rPr>
          <w:rFonts w:ascii="Arial" w:hAnsi="Arial" w:cs="Arial"/>
          <w:sz w:val="24"/>
          <w:szCs w:val="24"/>
          <w:lang w:val="en-GB"/>
        </w:rPr>
        <w:t xml:space="preserve"> that ibex </w:t>
      </w:r>
      <w:r w:rsidR="00432E86" w:rsidRPr="00883FC0">
        <w:rPr>
          <w:rFonts w:ascii="Arial" w:hAnsi="Arial" w:cs="Arial"/>
          <w:sz w:val="24"/>
          <w:szCs w:val="24"/>
          <w:lang w:val="en-GB"/>
        </w:rPr>
        <w:t>would</w:t>
      </w:r>
      <w:r w:rsidR="00685709" w:rsidRPr="00883FC0">
        <w:rPr>
          <w:rFonts w:ascii="Arial" w:hAnsi="Arial" w:cs="Arial"/>
          <w:sz w:val="24"/>
          <w:szCs w:val="24"/>
          <w:lang w:val="en-GB"/>
        </w:rPr>
        <w:t xml:space="preserve"> also host benzimidazole-resistant gastrointestinal nematodes</w:t>
      </w:r>
      <w:r w:rsidR="0033579C" w:rsidRPr="00883FC0">
        <w:rPr>
          <w:rFonts w:ascii="Arial" w:hAnsi="Arial" w:cs="Arial"/>
          <w:sz w:val="24"/>
          <w:szCs w:val="24"/>
          <w:lang w:val="en-GB"/>
        </w:rPr>
        <w:t>,</w:t>
      </w:r>
      <w:r w:rsidR="00685709" w:rsidRPr="00883FC0">
        <w:rPr>
          <w:rFonts w:ascii="Arial" w:hAnsi="Arial" w:cs="Arial"/>
          <w:sz w:val="24"/>
          <w:szCs w:val="24"/>
          <w:lang w:val="en-GB"/>
        </w:rPr>
        <w:t xml:space="preserve"> </w:t>
      </w:r>
      <w:r w:rsidR="002237AC" w:rsidRPr="002237AC">
        <w:rPr>
          <w:rFonts w:ascii="Arial" w:hAnsi="Arial" w:cs="Arial"/>
          <w:sz w:val="24"/>
          <w:szCs w:val="24"/>
          <w:highlight w:val="yellow"/>
          <w:lang w:val="en-GB"/>
        </w:rPr>
        <w:t>albeit</w:t>
      </w:r>
      <w:r w:rsidR="002237AC">
        <w:rPr>
          <w:rFonts w:ascii="Arial" w:hAnsi="Arial" w:cs="Arial"/>
          <w:sz w:val="24"/>
          <w:szCs w:val="24"/>
          <w:lang w:val="en-GB"/>
        </w:rPr>
        <w:t xml:space="preserve"> </w:t>
      </w:r>
      <w:r w:rsidR="00685709" w:rsidRPr="00883FC0">
        <w:rPr>
          <w:rFonts w:ascii="Arial" w:hAnsi="Arial" w:cs="Arial"/>
          <w:sz w:val="24"/>
          <w:szCs w:val="24"/>
          <w:lang w:val="en-GB"/>
        </w:rPr>
        <w:t xml:space="preserve">to a lesser extent, as resistance </w:t>
      </w:r>
      <w:r w:rsidR="0033579C" w:rsidRPr="00883FC0">
        <w:rPr>
          <w:rFonts w:ascii="Arial" w:hAnsi="Arial" w:cs="Arial"/>
          <w:sz w:val="24"/>
          <w:szCs w:val="24"/>
          <w:lang w:val="en-GB"/>
        </w:rPr>
        <w:t xml:space="preserve">does </w:t>
      </w:r>
      <w:r w:rsidR="00685709" w:rsidRPr="00883FC0">
        <w:rPr>
          <w:rFonts w:ascii="Arial" w:hAnsi="Arial" w:cs="Arial"/>
          <w:sz w:val="24"/>
          <w:szCs w:val="24"/>
          <w:lang w:val="en-GB"/>
        </w:rPr>
        <w:t xml:space="preserve">not </w:t>
      </w:r>
      <w:r w:rsidR="002237AC" w:rsidRPr="002237AC">
        <w:rPr>
          <w:rFonts w:ascii="Arial" w:hAnsi="Arial" w:cs="Arial"/>
          <w:sz w:val="24"/>
          <w:szCs w:val="24"/>
          <w:highlight w:val="yellow"/>
          <w:lang w:val="en-GB"/>
        </w:rPr>
        <w:t>confer</w:t>
      </w:r>
      <w:r w:rsidR="00685709" w:rsidRPr="00883FC0">
        <w:rPr>
          <w:rFonts w:ascii="Arial" w:hAnsi="Arial" w:cs="Arial"/>
          <w:sz w:val="24"/>
          <w:szCs w:val="24"/>
          <w:lang w:val="en-GB"/>
        </w:rPr>
        <w:t xml:space="preserve"> a selective advantage for nematodes in the ibex environment </w:t>
      </w:r>
      <w:r w:rsidR="00685709"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{"citationID":"a1obj4rj922","properties":{"formattedCitation":"(Hahnel et al., 2018)","plainCitation":"(Hahnel et al., 2018)","noteIndex":0},"citationItems":[{"id":3746,"uris":["http://zotero.org/users/local/NciqjDvn/items/ZAAT5LYF"],"itemData":{"id":3746,"type":"article-journal","abstract":"Benzimidazoles (BZ) are essential components of the limited chemotherapeutic arsenal available to control the global burden of parasitic nematodes. The emerging threat of BZ resistance among multiple nematode species necessitates the development of novel strategies to identify genetic and molecular mechanisms underlying this resistance. All detection of parasitic helminth resistance to BZ is focused on the genotyping of three variant sites in the orthologs of the β-tubulin gene found to confer resistance in the free-living nematode Caenorhabditis elegans. Because of the limitations of laboratory and field experiments in parasitic nematodes, it is difficult to look beyond these three sites to identify additional mechanisms that might contribute to BZ resistance in the field. Here, we took an unbiased genome-wide mapping approach in the free-living nematode species C. elegans to identify the genetic underpinnings of natural resistance to the commonly used BZ, albendazole (ABZ). We found a wide range of natural variation in ABZ resistance in natural C. elegans populations. In agreement with known mechanisms of BZ resistance in parasites, we found that a majority of the variation in ABZ resistance among wild C. elegans strains is caused by variation in the β-tubulin gene ben-1. This result shows empirically that resistance to ABZ naturally exists and segregates within the C. elegans population, suggesting that selection in natural niches could enrich for resistant alleles. We identified 25 distinct ben-1 alleles that are segregating at low frequencies within the C. elegans population, including many novel molecular variants. Population genetic analyses indicate that ben-1 variation arose multiple times during the evolutionary history of C. elegans and provide evidence that these alleles likely occurred recently because of local selective pressures. Additionally, we find purifying selection at all five β-tubulin genes, despite predicted loss-of-function variants in ben-1, indicating that BZ resistance in natural niches is a stronger selective pressure than loss of one β-tubulin gene. Furthermore, we used genome-editing to show that the most common parasitic nematode β-tubulin allele that confers BZ resistance, F200Y, confers resistance in C. elegans. Importantly, we identified a novel genomic region that is correlated with ABZ resistance in the C. elegans population but independent of ben-1 and the other β-tubulin loci, suggesting that there are multiple mechanisms underlying BZ resistance. Taken together, our results establish a population-level resource of nematode natural diversity as an important model for the study of mechanisms that give rise to BZ resistance.","container-title":"PLOS Pathogens","DOI":"10.1371/journal.ppat.1007226","ISSN":"1553-7374","issue":"10","journalAbbreviation":"PLOS Pathogens","language":"en","note":"publisher: Public Library of Science","page":"e1007226","source":"PLoS Journals","title":"Extreme allelic heterogeneity at a &lt;i&gt; Caenorhabditis elegans&lt;/i&gt;  beta-tubulin locus explains natural resistance to benzimidazoles","volume":"14","author":[{"family":"Hahnel","given":"Steffen R."},{"family":"Zdraljevic","given":"Stefan"},{"family":"Rodriguez","given":"Briana C."},{"family":"Zhao","given":"Yuehui"},{"family":"McGrath","given":"Patrick T."},{"family":"Andersen","given":"Erik C."}],"issued":{"date-parts":[["2018",10,29]]}}}],"schema":"https://github.com/citation-style-language/schema/raw/master/csl-citation.json"} </w:instrText>
      </w:r>
      <w:r w:rsidR="00685709" w:rsidRPr="00883FC0">
        <w:rPr>
          <w:rFonts w:ascii="Arial" w:hAnsi="Arial" w:cs="Arial"/>
          <w:sz w:val="24"/>
          <w:szCs w:val="24"/>
          <w:lang w:val="en-GB"/>
        </w:rPr>
        <w:fldChar w:fldCharType="separate"/>
      </w:r>
      <w:r w:rsidR="00991FDE" w:rsidRPr="00883FC0">
        <w:rPr>
          <w:rFonts w:ascii="Arial" w:hAnsi="Arial" w:cs="Arial"/>
          <w:sz w:val="24"/>
          <w:lang w:val="en-US"/>
        </w:rPr>
        <w:t>(Hahnel et al., 2018)</w:t>
      </w:r>
      <w:r w:rsidR="00685709" w:rsidRPr="00883FC0">
        <w:rPr>
          <w:rFonts w:ascii="Arial" w:hAnsi="Arial" w:cs="Arial"/>
          <w:sz w:val="24"/>
          <w:szCs w:val="24"/>
          <w:lang w:val="en-GB"/>
        </w:rPr>
        <w:fldChar w:fldCharType="end"/>
      </w:r>
      <w:r w:rsidR="00685709" w:rsidRPr="00883FC0">
        <w:rPr>
          <w:rFonts w:ascii="Arial" w:hAnsi="Arial" w:cs="Arial"/>
          <w:sz w:val="24"/>
          <w:szCs w:val="24"/>
          <w:lang w:val="en-GB"/>
        </w:rPr>
        <w:t xml:space="preserve"> (H2). </w:t>
      </w:r>
      <w:r w:rsidR="002237AC" w:rsidRPr="002237AC">
        <w:rPr>
          <w:rFonts w:ascii="Arial" w:hAnsi="Arial" w:cs="Arial"/>
          <w:sz w:val="24"/>
          <w:szCs w:val="24"/>
          <w:highlight w:val="yellow"/>
          <w:lang w:val="en-GB"/>
        </w:rPr>
        <w:t>Given the rarity of</w:t>
      </w:r>
      <w:r w:rsidR="00685709" w:rsidRPr="00883FC0">
        <w:rPr>
          <w:rFonts w:ascii="Arial" w:hAnsi="Arial" w:cs="Arial"/>
          <w:sz w:val="24"/>
          <w:szCs w:val="24"/>
          <w:lang w:val="en-GB"/>
        </w:rPr>
        <w:t xml:space="preserve"> </w:t>
      </w:r>
      <w:r w:rsidR="00BD78E8" w:rsidRPr="00883FC0">
        <w:rPr>
          <w:rFonts w:ascii="Arial" w:hAnsi="Arial" w:cs="Arial"/>
          <w:sz w:val="24"/>
          <w:szCs w:val="24"/>
          <w:lang w:val="en-GB"/>
        </w:rPr>
        <w:t xml:space="preserve">documented </w:t>
      </w:r>
      <w:r w:rsidR="00685709" w:rsidRPr="00883FC0">
        <w:rPr>
          <w:rFonts w:ascii="Arial" w:hAnsi="Arial" w:cs="Arial"/>
          <w:sz w:val="24"/>
          <w:szCs w:val="24"/>
          <w:lang w:val="en-GB"/>
        </w:rPr>
        <w:t>ibex dispersal event</w:t>
      </w:r>
      <w:r w:rsidR="00BD78E8" w:rsidRPr="00883FC0">
        <w:rPr>
          <w:rFonts w:ascii="Arial" w:hAnsi="Arial" w:cs="Arial"/>
          <w:sz w:val="24"/>
          <w:szCs w:val="24"/>
          <w:lang w:val="en-GB"/>
        </w:rPr>
        <w:t>s</w:t>
      </w:r>
      <w:r w:rsidR="00685709" w:rsidRPr="00883FC0">
        <w:rPr>
          <w:rFonts w:ascii="Arial" w:hAnsi="Arial" w:cs="Arial"/>
          <w:sz w:val="24"/>
          <w:szCs w:val="24"/>
          <w:lang w:val="en-GB"/>
        </w:rPr>
        <w:t xml:space="preserve"> among </w:t>
      </w:r>
      <w:r w:rsidR="00685709" w:rsidRPr="002237AC">
        <w:rPr>
          <w:rFonts w:ascii="Arial" w:hAnsi="Arial" w:cs="Arial"/>
          <w:sz w:val="24"/>
          <w:szCs w:val="24"/>
          <w:highlight w:val="yellow"/>
          <w:lang w:val="en-GB"/>
        </w:rPr>
        <w:t xml:space="preserve">the </w:t>
      </w:r>
      <w:r w:rsidR="002237AC" w:rsidRPr="002237AC">
        <w:rPr>
          <w:rFonts w:ascii="Arial" w:hAnsi="Arial" w:cs="Arial"/>
          <w:sz w:val="24"/>
          <w:szCs w:val="24"/>
          <w:highlight w:val="yellow"/>
          <w:lang w:val="en-GB"/>
        </w:rPr>
        <w:t>three studied mountain areas</w:t>
      </w:r>
      <w:r w:rsidR="006F4E47" w:rsidRPr="00883FC0">
        <w:rPr>
          <w:rFonts w:ascii="Arial" w:hAnsi="Arial" w:cs="Arial"/>
          <w:sz w:val="24"/>
          <w:szCs w:val="24"/>
          <w:lang w:val="en-GB"/>
        </w:rPr>
        <w:t xml:space="preserve"> </w:t>
      </w:r>
      <w:r w:rsidR="00685709" w:rsidRPr="00883FC0">
        <w:rPr>
          <w:rFonts w:ascii="Arial" w:hAnsi="Arial" w:cs="Arial"/>
          <w:sz w:val="24"/>
          <w:szCs w:val="24"/>
          <w:lang w:val="en-GB"/>
        </w:rPr>
        <w:fldChar w:fldCharType="begin"/>
      </w:r>
      <w:r w:rsidR="00F02A99" w:rsidRPr="00883FC0">
        <w:rPr>
          <w:rFonts w:ascii="Arial" w:hAnsi="Arial" w:cs="Arial"/>
          <w:sz w:val="24"/>
          <w:szCs w:val="24"/>
          <w:lang w:val="en-GB"/>
        </w:rPr>
        <w:instrText xml:space="preserve"> ADDIN ZOTERO_ITEM CSL_CITATION {"citationID":"y3Bv8HgW","properties":{"formattedCitation":"(Brambilla, 2020)","plainCitation":"(Brambilla, 2020)","dontUpdate":true,"noteIndex":0},"citationItems":[{"id":3963,"uris":["http://zotero.org/users/local/NciqjDvn/items/YSTQ2DQ3"],"itemData":{"id":3963,"type":"report","event-place":"Zurich","publisher":"Department of Evolutionary Biology and Environmental Studies","publisher-place":"Zurich","title":"Caratterizzazione genetica delle popolazioni di stambecco delle Alpi occidentali","author":[{"family":"Brambilla","given":"Alice"}],"issued":{"date-parts":[["2020"]]}},"label":"page"}],"schema":"https://github.com/citation-style-language/schema/raw/master/csl-citation.json"} </w:instrText>
      </w:r>
      <w:r w:rsidR="00685709" w:rsidRPr="00883FC0">
        <w:rPr>
          <w:rFonts w:ascii="Arial" w:hAnsi="Arial" w:cs="Arial"/>
          <w:sz w:val="24"/>
          <w:szCs w:val="24"/>
          <w:lang w:val="en-GB"/>
        </w:rPr>
        <w:fldChar w:fldCharType="separate"/>
      </w:r>
      <w:r w:rsidR="00991FDE" w:rsidRPr="00883FC0">
        <w:rPr>
          <w:rFonts w:ascii="Arial" w:hAnsi="Arial" w:cs="Arial"/>
          <w:sz w:val="24"/>
          <w:lang w:val="en-US"/>
        </w:rPr>
        <w:t>(Brambilla, 2020</w:t>
      </w:r>
      <w:r w:rsidR="00685709" w:rsidRPr="00883FC0">
        <w:rPr>
          <w:rFonts w:ascii="Arial" w:hAnsi="Arial" w:cs="Arial"/>
          <w:sz w:val="24"/>
          <w:szCs w:val="24"/>
          <w:lang w:val="en-GB"/>
        </w:rPr>
        <w:fldChar w:fldCharType="end"/>
      </w:r>
      <w:r w:rsidR="006F4E47" w:rsidRPr="00883FC0">
        <w:rPr>
          <w:rFonts w:ascii="Arial" w:hAnsi="Arial" w:cs="Arial"/>
          <w:sz w:val="24"/>
          <w:szCs w:val="24"/>
          <w:lang w:val="en-GB"/>
        </w:rPr>
        <w:t xml:space="preserve"> R. Papet, C. </w:t>
      </w:r>
      <w:proofErr w:type="spellStart"/>
      <w:r w:rsidR="006F4E47" w:rsidRPr="00883FC0">
        <w:rPr>
          <w:rFonts w:ascii="Arial" w:hAnsi="Arial" w:cs="Arial"/>
          <w:sz w:val="24"/>
          <w:szCs w:val="24"/>
          <w:lang w:val="en-GB"/>
        </w:rPr>
        <w:t>Toïgo</w:t>
      </w:r>
      <w:proofErr w:type="spellEnd"/>
      <w:r w:rsidR="006F4E47" w:rsidRPr="00883FC0">
        <w:rPr>
          <w:rFonts w:ascii="Arial" w:hAnsi="Arial" w:cs="Arial"/>
          <w:sz w:val="24"/>
          <w:szCs w:val="24"/>
          <w:lang w:val="en-GB"/>
        </w:rPr>
        <w:t xml:space="preserve"> and E. </w:t>
      </w:r>
      <w:proofErr w:type="spellStart"/>
      <w:r w:rsidR="006F4E47" w:rsidRPr="00883FC0">
        <w:rPr>
          <w:rFonts w:ascii="Arial" w:hAnsi="Arial" w:cs="Arial"/>
          <w:sz w:val="24"/>
          <w:szCs w:val="24"/>
          <w:lang w:val="en-GB"/>
        </w:rPr>
        <w:t>Vannard</w:t>
      </w:r>
      <w:proofErr w:type="spellEnd"/>
      <w:r w:rsidR="006F4E47" w:rsidRPr="00883FC0">
        <w:rPr>
          <w:rFonts w:ascii="Arial" w:hAnsi="Arial" w:cs="Arial"/>
          <w:sz w:val="24"/>
          <w:szCs w:val="24"/>
          <w:lang w:val="en-GB"/>
        </w:rPr>
        <w:t>, personal communication)</w:t>
      </w:r>
      <w:r w:rsidR="00685709" w:rsidRPr="00883FC0">
        <w:rPr>
          <w:rFonts w:ascii="Arial" w:hAnsi="Arial" w:cs="Arial"/>
          <w:sz w:val="24"/>
          <w:szCs w:val="24"/>
          <w:lang w:val="en-GB"/>
        </w:rPr>
        <w:t xml:space="preserve">, we </w:t>
      </w:r>
      <w:r w:rsidR="00325F10" w:rsidRPr="00883FC0">
        <w:rPr>
          <w:rFonts w:ascii="Arial" w:hAnsi="Arial" w:cs="Arial"/>
          <w:sz w:val="24"/>
          <w:szCs w:val="24"/>
          <w:lang w:val="en-GB"/>
        </w:rPr>
        <w:t>predicted</w:t>
      </w:r>
      <w:r w:rsidR="00685709" w:rsidRPr="00883FC0">
        <w:rPr>
          <w:rFonts w:ascii="Arial" w:hAnsi="Arial" w:cs="Arial"/>
          <w:sz w:val="24"/>
          <w:szCs w:val="24"/>
          <w:lang w:val="en-GB"/>
        </w:rPr>
        <w:t xml:space="preserve"> genetic differences </w:t>
      </w:r>
      <w:r w:rsidR="002237AC" w:rsidRPr="002237AC">
        <w:rPr>
          <w:rFonts w:ascii="Arial" w:hAnsi="Arial" w:cs="Arial"/>
          <w:sz w:val="24"/>
          <w:szCs w:val="24"/>
          <w:highlight w:val="yellow"/>
          <w:lang w:val="en-GB"/>
        </w:rPr>
        <w:t>in</w:t>
      </w:r>
      <w:r w:rsidR="00685709" w:rsidRPr="00883FC0">
        <w:rPr>
          <w:rFonts w:ascii="Arial" w:hAnsi="Arial" w:cs="Arial"/>
          <w:sz w:val="24"/>
          <w:szCs w:val="24"/>
          <w:lang w:val="en-GB"/>
        </w:rPr>
        <w:t xml:space="preserve"> nematode species/communit</w:t>
      </w:r>
      <w:r w:rsidR="0033579C" w:rsidRPr="00883FC0">
        <w:rPr>
          <w:rFonts w:ascii="Arial" w:hAnsi="Arial" w:cs="Arial"/>
          <w:sz w:val="24"/>
          <w:szCs w:val="24"/>
          <w:lang w:val="en-GB"/>
        </w:rPr>
        <w:t>ies</w:t>
      </w:r>
      <w:r w:rsidR="00685709" w:rsidRPr="00883FC0">
        <w:rPr>
          <w:rFonts w:ascii="Arial" w:hAnsi="Arial" w:cs="Arial"/>
          <w:sz w:val="24"/>
          <w:szCs w:val="24"/>
          <w:lang w:val="en-GB"/>
        </w:rPr>
        <w:t xml:space="preserve"> or strains (ASV</w:t>
      </w:r>
      <w:r w:rsidR="00033D3D" w:rsidRPr="00883FC0">
        <w:rPr>
          <w:rFonts w:ascii="Arial" w:hAnsi="Arial" w:cs="Arial"/>
          <w:sz w:val="24"/>
          <w:szCs w:val="24"/>
          <w:lang w:val="en-GB"/>
        </w:rPr>
        <w:t>: Amplicon sequence variant</w:t>
      </w:r>
      <w:r w:rsidR="00685709" w:rsidRPr="00883FC0">
        <w:rPr>
          <w:rFonts w:ascii="Arial" w:hAnsi="Arial" w:cs="Arial"/>
          <w:sz w:val="24"/>
          <w:szCs w:val="24"/>
          <w:lang w:val="en-GB"/>
        </w:rPr>
        <w:t xml:space="preserve">) among </w:t>
      </w:r>
      <w:r w:rsidR="0033579C" w:rsidRPr="00883FC0">
        <w:rPr>
          <w:rFonts w:ascii="Arial" w:hAnsi="Arial" w:cs="Arial"/>
          <w:sz w:val="24"/>
          <w:szCs w:val="24"/>
          <w:lang w:val="en-GB"/>
        </w:rPr>
        <w:t xml:space="preserve">ibex </w:t>
      </w:r>
      <w:r w:rsidR="00685709" w:rsidRPr="00883FC0">
        <w:rPr>
          <w:rFonts w:ascii="Arial" w:hAnsi="Arial" w:cs="Arial"/>
          <w:sz w:val="24"/>
          <w:szCs w:val="24"/>
          <w:lang w:val="en-GB"/>
        </w:rPr>
        <w:t>populations due to genetic drift (H</w:t>
      </w:r>
      <w:r w:rsidR="00EA09AC" w:rsidRPr="00883FC0">
        <w:rPr>
          <w:rFonts w:ascii="Arial" w:hAnsi="Arial" w:cs="Arial"/>
          <w:sz w:val="24"/>
          <w:szCs w:val="24"/>
          <w:lang w:val="en-GB"/>
        </w:rPr>
        <w:t>3</w:t>
      </w:r>
      <w:r w:rsidR="00685709" w:rsidRPr="00883FC0">
        <w:rPr>
          <w:rFonts w:ascii="Arial" w:hAnsi="Arial" w:cs="Arial"/>
          <w:sz w:val="24"/>
          <w:szCs w:val="24"/>
          <w:lang w:val="en-GB"/>
        </w:rPr>
        <w:t>).</w:t>
      </w:r>
    </w:p>
    <w:p w14:paraId="79BADC34" w14:textId="77777777" w:rsidR="006463F4" w:rsidRPr="00883FC0" w:rsidRDefault="006463F4" w:rsidP="00A0712B">
      <w:pPr>
        <w:spacing w:after="0" w:line="360" w:lineRule="auto"/>
        <w:rPr>
          <w:rFonts w:ascii="Arial" w:hAnsi="Arial" w:cs="Arial"/>
          <w:lang w:val="en-US"/>
        </w:rPr>
      </w:pPr>
    </w:p>
    <w:p w14:paraId="109EA9AF" w14:textId="19B26310" w:rsidR="006463F4" w:rsidRPr="00883FC0" w:rsidRDefault="006463F4" w:rsidP="00A0712B">
      <w:pPr>
        <w:pStyle w:val="Titre2"/>
        <w:spacing w:before="0" w:line="360" w:lineRule="auto"/>
        <w:jc w:val="center"/>
        <w:rPr>
          <w:rFonts w:ascii="Arial" w:hAnsi="Arial" w:cs="Arial"/>
          <w:b/>
          <w:color w:val="auto"/>
          <w:sz w:val="28"/>
          <w:szCs w:val="28"/>
          <w:lang w:val="en-US"/>
        </w:rPr>
      </w:pPr>
      <w:bookmarkStart w:id="6" w:name="_Toc129193238"/>
      <w:r w:rsidRPr="00883FC0">
        <w:rPr>
          <w:rFonts w:ascii="Arial" w:hAnsi="Arial" w:cs="Arial"/>
          <w:b/>
          <w:color w:val="auto"/>
          <w:sz w:val="28"/>
          <w:szCs w:val="28"/>
          <w:lang w:val="en-US"/>
        </w:rPr>
        <w:t>Materials and Methods</w:t>
      </w:r>
      <w:bookmarkEnd w:id="6"/>
    </w:p>
    <w:p w14:paraId="6B8F0E6A" w14:textId="77777777" w:rsidR="00193710" w:rsidRPr="00883FC0" w:rsidRDefault="00193710" w:rsidP="00A0712B">
      <w:pPr>
        <w:spacing w:after="0" w:line="360" w:lineRule="auto"/>
        <w:rPr>
          <w:rFonts w:ascii="Arial" w:hAnsi="Arial" w:cs="Arial"/>
          <w:lang w:val="en-US"/>
        </w:rPr>
      </w:pPr>
    </w:p>
    <w:p w14:paraId="31E05C8B" w14:textId="561FB2E0" w:rsidR="006463F4" w:rsidRPr="00883FC0" w:rsidRDefault="006463F4" w:rsidP="00A0712B">
      <w:pPr>
        <w:pStyle w:val="Titre3"/>
        <w:spacing w:before="0" w:line="360" w:lineRule="auto"/>
        <w:rPr>
          <w:rFonts w:ascii="Arial" w:hAnsi="Arial" w:cs="Arial"/>
          <w:i/>
          <w:color w:val="auto"/>
          <w:sz w:val="28"/>
          <w:lang w:val="en-US"/>
        </w:rPr>
      </w:pPr>
      <w:bookmarkStart w:id="7" w:name="_Toc129193239"/>
      <w:r w:rsidRPr="00883FC0">
        <w:rPr>
          <w:rFonts w:ascii="Arial" w:hAnsi="Arial" w:cs="Arial"/>
          <w:i/>
          <w:color w:val="auto"/>
          <w:sz w:val="28"/>
          <w:lang w:val="en-US"/>
        </w:rPr>
        <w:t>Study area</w:t>
      </w:r>
      <w:bookmarkEnd w:id="7"/>
      <w:r w:rsidR="002237AC" w:rsidRPr="002237AC">
        <w:rPr>
          <w:rFonts w:ascii="Arial" w:hAnsi="Arial" w:cs="Arial"/>
          <w:i/>
          <w:color w:val="auto"/>
          <w:sz w:val="28"/>
          <w:highlight w:val="yellow"/>
          <w:lang w:val="en-US"/>
        </w:rPr>
        <w:t>s</w:t>
      </w:r>
    </w:p>
    <w:p w14:paraId="074AFC4B" w14:textId="77777777" w:rsidR="006463F4" w:rsidRPr="00883FC0" w:rsidRDefault="006463F4" w:rsidP="00A0712B">
      <w:pPr>
        <w:spacing w:after="0" w:line="360" w:lineRule="auto"/>
        <w:rPr>
          <w:rFonts w:ascii="Arial" w:hAnsi="Arial" w:cs="Arial"/>
          <w:lang w:val="en-US"/>
        </w:rPr>
      </w:pPr>
    </w:p>
    <w:p w14:paraId="1CAD2E94" w14:textId="30473832" w:rsidR="007B7372" w:rsidRPr="00883FC0" w:rsidRDefault="006463F4" w:rsidP="00A0712B">
      <w:pPr>
        <w:spacing w:after="0" w:line="360" w:lineRule="auto"/>
        <w:jc w:val="both"/>
        <w:rPr>
          <w:rFonts w:ascii="Arial" w:hAnsi="Arial" w:cs="Arial"/>
          <w:sz w:val="24"/>
          <w:szCs w:val="24"/>
          <w:lang w:val="en-GB"/>
        </w:rPr>
      </w:pPr>
      <w:r w:rsidRPr="00883FC0">
        <w:rPr>
          <w:rFonts w:ascii="Arial" w:hAnsi="Arial" w:cs="Arial"/>
          <w:color w:val="000000"/>
          <w:lang w:val="en-US"/>
        </w:rPr>
        <w:tab/>
      </w:r>
      <w:r w:rsidR="00685709" w:rsidRPr="00883FC0">
        <w:rPr>
          <w:rFonts w:ascii="Arial" w:hAnsi="Arial" w:cs="Arial"/>
          <w:sz w:val="24"/>
          <w:szCs w:val="24"/>
          <w:lang w:val="en-GB"/>
        </w:rPr>
        <w:t xml:space="preserve">Samples of sheep and ibex feces were collected in the French Alps in </w:t>
      </w:r>
      <w:r w:rsidR="002237AC" w:rsidRPr="002237AC">
        <w:rPr>
          <w:rFonts w:ascii="Arial" w:hAnsi="Arial" w:cs="Arial"/>
          <w:sz w:val="24"/>
          <w:szCs w:val="24"/>
          <w:highlight w:val="yellow"/>
          <w:lang w:val="en-GB"/>
        </w:rPr>
        <w:t>three</w:t>
      </w:r>
      <w:r w:rsidR="00685709" w:rsidRPr="00883FC0">
        <w:rPr>
          <w:rFonts w:ascii="Arial" w:hAnsi="Arial" w:cs="Arial"/>
          <w:sz w:val="24"/>
          <w:szCs w:val="24"/>
          <w:lang w:val="en-GB"/>
        </w:rPr>
        <w:t xml:space="preserve"> different mountain areas (</w:t>
      </w:r>
      <w:r w:rsidR="00685709" w:rsidRPr="00883FC0">
        <w:rPr>
          <w:rFonts w:ascii="Arial" w:hAnsi="Arial" w:cs="Arial"/>
          <w:sz w:val="24"/>
          <w:szCs w:val="24"/>
          <w:lang w:val="en-GB"/>
        </w:rPr>
        <w:fldChar w:fldCharType="begin"/>
      </w:r>
      <w:r w:rsidR="00685709" w:rsidRPr="00883FC0">
        <w:rPr>
          <w:rFonts w:ascii="Arial" w:hAnsi="Arial" w:cs="Arial"/>
          <w:sz w:val="24"/>
          <w:szCs w:val="24"/>
          <w:lang w:val="en-GB"/>
        </w:rPr>
        <w:instrText xml:space="preserve"> REF _Ref128752833 \h  \* MERGEFORMAT </w:instrText>
      </w:r>
      <w:r w:rsidR="00685709" w:rsidRPr="00883FC0">
        <w:rPr>
          <w:rFonts w:ascii="Arial" w:hAnsi="Arial" w:cs="Arial"/>
          <w:sz w:val="24"/>
          <w:szCs w:val="24"/>
          <w:lang w:val="en-GB"/>
        </w:rPr>
      </w:r>
      <w:r w:rsidR="00685709" w:rsidRPr="00883FC0">
        <w:rPr>
          <w:rFonts w:ascii="Arial" w:hAnsi="Arial" w:cs="Arial"/>
          <w:sz w:val="24"/>
          <w:szCs w:val="24"/>
          <w:lang w:val="en-GB"/>
        </w:rPr>
        <w:fldChar w:fldCharType="separate"/>
      </w:r>
      <w:r w:rsidR="00870D7F" w:rsidRPr="00870D7F">
        <w:rPr>
          <w:rFonts w:ascii="Arial" w:hAnsi="Arial" w:cs="Arial"/>
          <w:sz w:val="24"/>
          <w:szCs w:val="24"/>
          <w:lang w:val="en-GB"/>
        </w:rPr>
        <w:t xml:space="preserve">Figure </w:t>
      </w:r>
      <w:r w:rsidR="00870D7F" w:rsidRPr="00870D7F">
        <w:rPr>
          <w:rFonts w:ascii="Arial" w:hAnsi="Arial" w:cs="Arial"/>
          <w:noProof/>
          <w:sz w:val="24"/>
          <w:szCs w:val="24"/>
          <w:lang w:val="en-GB"/>
        </w:rPr>
        <w:t>1</w:t>
      </w:r>
      <w:r w:rsidR="00685709" w:rsidRPr="00883FC0">
        <w:rPr>
          <w:rFonts w:ascii="Arial" w:hAnsi="Arial" w:cs="Arial"/>
          <w:sz w:val="24"/>
          <w:szCs w:val="24"/>
          <w:lang w:val="en-GB"/>
        </w:rPr>
        <w:fldChar w:fldCharType="end"/>
      </w:r>
      <w:r w:rsidR="00685709" w:rsidRPr="00883FC0">
        <w:rPr>
          <w:rFonts w:ascii="Arial" w:hAnsi="Arial" w:cs="Arial"/>
          <w:sz w:val="24"/>
          <w:szCs w:val="24"/>
          <w:lang w:val="en-GB"/>
        </w:rPr>
        <w:t xml:space="preserve">). The Belledonne mountain is located in the western part of the Alps in southeast France. The Cerces and Champsaur mountains are </w:t>
      </w:r>
      <w:r w:rsidR="002237AC" w:rsidRPr="002237AC">
        <w:rPr>
          <w:rFonts w:ascii="Arial" w:hAnsi="Arial" w:cs="Arial"/>
          <w:sz w:val="24"/>
          <w:szCs w:val="24"/>
          <w:highlight w:val="yellow"/>
          <w:lang w:val="en-GB"/>
        </w:rPr>
        <w:t>situated</w:t>
      </w:r>
      <w:r w:rsidR="002237AC">
        <w:rPr>
          <w:rFonts w:ascii="Arial" w:hAnsi="Arial" w:cs="Arial"/>
          <w:sz w:val="24"/>
          <w:szCs w:val="24"/>
          <w:lang w:val="en-GB"/>
        </w:rPr>
        <w:t xml:space="preserve"> </w:t>
      </w:r>
      <w:r w:rsidR="00685709" w:rsidRPr="00883FC0">
        <w:rPr>
          <w:rFonts w:ascii="Arial" w:hAnsi="Arial" w:cs="Arial"/>
          <w:sz w:val="24"/>
          <w:szCs w:val="24"/>
          <w:lang w:val="en-GB"/>
        </w:rPr>
        <w:t xml:space="preserve">in the </w:t>
      </w:r>
      <w:r w:rsidR="00685709" w:rsidRPr="002237AC">
        <w:rPr>
          <w:rFonts w:ascii="Arial" w:hAnsi="Arial" w:cs="Arial"/>
          <w:sz w:val="24"/>
          <w:szCs w:val="24"/>
          <w:highlight w:val="yellow"/>
          <w:lang w:val="en-GB"/>
        </w:rPr>
        <w:t>north</w:t>
      </w:r>
      <w:r w:rsidR="002237AC" w:rsidRPr="002237AC">
        <w:rPr>
          <w:rFonts w:ascii="Arial" w:hAnsi="Arial" w:cs="Arial"/>
          <w:sz w:val="24"/>
          <w:szCs w:val="24"/>
          <w:highlight w:val="yellow"/>
          <w:lang w:val="en-GB"/>
        </w:rPr>
        <w:t>ern</w:t>
      </w:r>
      <w:r w:rsidR="00685709" w:rsidRPr="00883FC0">
        <w:rPr>
          <w:rFonts w:ascii="Arial" w:hAnsi="Arial" w:cs="Arial"/>
          <w:sz w:val="24"/>
          <w:szCs w:val="24"/>
          <w:lang w:val="en-GB"/>
        </w:rPr>
        <w:t xml:space="preserve"> and the </w:t>
      </w:r>
      <w:r w:rsidR="00685709" w:rsidRPr="002237AC">
        <w:rPr>
          <w:rFonts w:ascii="Arial" w:hAnsi="Arial" w:cs="Arial"/>
          <w:sz w:val="24"/>
          <w:szCs w:val="24"/>
          <w:highlight w:val="yellow"/>
          <w:lang w:val="en-GB"/>
        </w:rPr>
        <w:t>south</w:t>
      </w:r>
      <w:r w:rsidR="002237AC" w:rsidRPr="002237AC">
        <w:rPr>
          <w:rFonts w:ascii="Arial" w:hAnsi="Arial" w:cs="Arial"/>
          <w:sz w:val="24"/>
          <w:szCs w:val="24"/>
          <w:highlight w:val="yellow"/>
          <w:lang w:val="en-GB"/>
        </w:rPr>
        <w:t>ern</w:t>
      </w:r>
      <w:r w:rsidR="00685709" w:rsidRPr="00883FC0">
        <w:rPr>
          <w:rFonts w:ascii="Arial" w:hAnsi="Arial" w:cs="Arial"/>
          <w:sz w:val="24"/>
          <w:szCs w:val="24"/>
          <w:lang w:val="en-GB"/>
        </w:rPr>
        <w:t xml:space="preserve"> parts of the Ecrins National Park, respectively (</w:t>
      </w:r>
      <w:r w:rsidR="00685709" w:rsidRPr="00883FC0">
        <w:rPr>
          <w:rFonts w:ascii="Arial" w:hAnsi="Arial" w:cs="Arial"/>
          <w:sz w:val="24"/>
          <w:szCs w:val="24"/>
          <w:lang w:val="en-GB"/>
        </w:rPr>
        <w:fldChar w:fldCharType="begin"/>
      </w:r>
      <w:r w:rsidR="00685709" w:rsidRPr="00883FC0">
        <w:rPr>
          <w:rFonts w:ascii="Arial" w:hAnsi="Arial" w:cs="Arial"/>
          <w:sz w:val="24"/>
          <w:szCs w:val="24"/>
          <w:lang w:val="en-GB"/>
        </w:rPr>
        <w:instrText xml:space="preserve"> REF _Ref128752833 \h  \* MERGEFORMAT </w:instrText>
      </w:r>
      <w:r w:rsidR="00685709" w:rsidRPr="00883FC0">
        <w:rPr>
          <w:rFonts w:ascii="Arial" w:hAnsi="Arial" w:cs="Arial"/>
          <w:sz w:val="24"/>
          <w:szCs w:val="24"/>
          <w:lang w:val="en-GB"/>
        </w:rPr>
      </w:r>
      <w:r w:rsidR="00685709" w:rsidRPr="00883FC0">
        <w:rPr>
          <w:rFonts w:ascii="Arial" w:hAnsi="Arial" w:cs="Arial"/>
          <w:sz w:val="24"/>
          <w:szCs w:val="24"/>
          <w:lang w:val="en-GB"/>
        </w:rPr>
        <w:fldChar w:fldCharType="separate"/>
      </w:r>
      <w:r w:rsidR="00870D7F" w:rsidRPr="00870D7F">
        <w:rPr>
          <w:rFonts w:ascii="Arial" w:hAnsi="Arial" w:cs="Arial"/>
          <w:sz w:val="24"/>
          <w:szCs w:val="24"/>
          <w:lang w:val="en-GB"/>
        </w:rPr>
        <w:t xml:space="preserve">Figure </w:t>
      </w:r>
      <w:r w:rsidR="00870D7F" w:rsidRPr="00870D7F">
        <w:rPr>
          <w:rFonts w:ascii="Arial" w:hAnsi="Arial" w:cs="Arial"/>
          <w:noProof/>
          <w:sz w:val="24"/>
          <w:szCs w:val="24"/>
          <w:lang w:val="en-GB"/>
        </w:rPr>
        <w:t>1</w:t>
      </w:r>
      <w:r w:rsidR="00685709" w:rsidRPr="00883FC0">
        <w:rPr>
          <w:rFonts w:ascii="Arial" w:hAnsi="Arial" w:cs="Arial"/>
          <w:sz w:val="24"/>
          <w:szCs w:val="24"/>
          <w:lang w:val="en-GB"/>
        </w:rPr>
        <w:fldChar w:fldCharType="end"/>
      </w:r>
      <w:r w:rsidR="00685709" w:rsidRPr="00883FC0">
        <w:rPr>
          <w:rFonts w:ascii="Arial" w:hAnsi="Arial" w:cs="Arial"/>
          <w:sz w:val="24"/>
          <w:szCs w:val="24"/>
          <w:lang w:val="en-GB"/>
        </w:rPr>
        <w:t xml:space="preserve">). </w:t>
      </w:r>
    </w:p>
    <w:p w14:paraId="1A1BDA3E" w14:textId="1E2EDB93" w:rsidR="006463F4" w:rsidRPr="00883FC0" w:rsidRDefault="00685A7C" w:rsidP="00A0712B">
      <w:pPr>
        <w:spacing w:after="0" w:line="360" w:lineRule="auto"/>
        <w:jc w:val="center"/>
        <w:rPr>
          <w:rFonts w:ascii="Arial" w:hAnsi="Arial" w:cs="Arial"/>
          <w:sz w:val="24"/>
          <w:szCs w:val="24"/>
          <w:u w:val="single"/>
          <w:lang w:val="en-US"/>
        </w:rPr>
      </w:pPr>
      <w:r w:rsidRPr="00883FC0">
        <w:rPr>
          <w:rFonts w:ascii="Arial" w:hAnsi="Arial" w:cs="Arial"/>
          <w:noProof/>
          <w:sz w:val="24"/>
          <w:szCs w:val="24"/>
          <w:lang w:val="en-US"/>
        </w:rPr>
        <w:lastRenderedPageBreak/>
        <w:drawing>
          <wp:inline distT="0" distB="0" distL="0" distR="0" wp14:anchorId="06AA677B" wp14:editId="003850FC">
            <wp:extent cx="2766950" cy="38677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8159" cy="4246900"/>
                    </a:xfrm>
                    <a:prstGeom prst="rect">
                      <a:avLst/>
                    </a:prstGeom>
                  </pic:spPr>
                </pic:pic>
              </a:graphicData>
            </a:graphic>
          </wp:inline>
        </w:drawing>
      </w:r>
    </w:p>
    <w:p w14:paraId="0C2EE669" w14:textId="4C28FD35" w:rsidR="000875D4" w:rsidRPr="003B2298" w:rsidRDefault="00685709" w:rsidP="00A0712B">
      <w:pPr>
        <w:pStyle w:val="Lgende"/>
        <w:spacing w:after="0" w:line="360" w:lineRule="auto"/>
        <w:jc w:val="both"/>
        <w:rPr>
          <w:rFonts w:ascii="Arial" w:hAnsi="Arial" w:cs="Arial"/>
          <w:b w:val="0"/>
          <w:iCs/>
          <w:color w:val="auto"/>
          <w:sz w:val="24"/>
          <w:szCs w:val="24"/>
          <w:lang w:val="en-GB"/>
        </w:rPr>
      </w:pPr>
      <w:bookmarkStart w:id="8" w:name="_Ref128752833"/>
      <w:bookmarkStart w:id="9" w:name="_Toc129896634"/>
      <w:bookmarkStart w:id="10" w:name="_Toc129984664"/>
      <w:r w:rsidRPr="00883FC0">
        <w:rPr>
          <w:rFonts w:ascii="Arial" w:hAnsi="Arial" w:cs="Arial"/>
          <w:color w:val="auto"/>
          <w:sz w:val="24"/>
          <w:szCs w:val="24"/>
          <w:u w:val="single"/>
          <w:lang w:val="en-GB"/>
        </w:rPr>
        <w:t xml:space="preserve">Figure </w:t>
      </w:r>
      <w:r w:rsidRPr="00883FC0">
        <w:rPr>
          <w:rFonts w:ascii="Arial" w:hAnsi="Arial" w:cs="Arial"/>
          <w:color w:val="auto"/>
          <w:sz w:val="24"/>
          <w:szCs w:val="24"/>
          <w:u w:val="single"/>
          <w:lang w:val="en-GB"/>
        </w:rPr>
        <w:fldChar w:fldCharType="begin"/>
      </w:r>
      <w:r w:rsidRPr="00883FC0">
        <w:rPr>
          <w:rFonts w:ascii="Arial" w:hAnsi="Arial" w:cs="Arial"/>
          <w:color w:val="auto"/>
          <w:sz w:val="24"/>
          <w:szCs w:val="24"/>
          <w:u w:val="single"/>
          <w:lang w:val="en-GB"/>
        </w:rPr>
        <w:instrText xml:space="preserve"> SEQ Figure \* ARABIC </w:instrText>
      </w:r>
      <w:r w:rsidRPr="00883FC0">
        <w:rPr>
          <w:rFonts w:ascii="Arial" w:hAnsi="Arial" w:cs="Arial"/>
          <w:color w:val="auto"/>
          <w:sz w:val="24"/>
          <w:szCs w:val="24"/>
          <w:u w:val="single"/>
          <w:lang w:val="en-GB"/>
        </w:rPr>
        <w:fldChar w:fldCharType="separate"/>
      </w:r>
      <w:r w:rsidR="00870D7F">
        <w:rPr>
          <w:rFonts w:ascii="Arial" w:hAnsi="Arial" w:cs="Arial"/>
          <w:noProof/>
          <w:color w:val="auto"/>
          <w:sz w:val="24"/>
          <w:szCs w:val="24"/>
          <w:u w:val="single"/>
          <w:lang w:val="en-GB"/>
        </w:rPr>
        <w:t>1</w:t>
      </w:r>
      <w:r w:rsidRPr="00883FC0">
        <w:rPr>
          <w:rFonts w:ascii="Arial" w:hAnsi="Arial" w:cs="Arial"/>
          <w:color w:val="auto"/>
          <w:sz w:val="24"/>
          <w:szCs w:val="24"/>
          <w:u w:val="single"/>
          <w:lang w:val="en-GB"/>
        </w:rPr>
        <w:fldChar w:fldCharType="end"/>
      </w:r>
      <w:bookmarkEnd w:id="8"/>
      <w:r w:rsidRPr="00883FC0">
        <w:rPr>
          <w:rFonts w:ascii="Arial" w:hAnsi="Arial" w:cs="Arial"/>
          <w:b w:val="0"/>
          <w:color w:val="auto"/>
          <w:sz w:val="24"/>
          <w:szCs w:val="24"/>
          <w:u w:val="single"/>
          <w:lang w:val="en-GB"/>
        </w:rPr>
        <w:t xml:space="preserve"> : </w:t>
      </w:r>
      <w:r w:rsidR="002237AC">
        <w:rPr>
          <w:rFonts w:ascii="Arial" w:hAnsi="Arial" w:cs="Arial"/>
          <w:b w:val="0"/>
          <w:color w:val="auto"/>
          <w:sz w:val="24"/>
          <w:szCs w:val="24"/>
          <w:u w:val="single"/>
          <w:lang w:val="en-GB"/>
        </w:rPr>
        <w:t>Map of the study area illustrating the three mountain areas (Belledonne, Cerces, Champsaur)</w:t>
      </w:r>
      <w:r w:rsidRPr="00883FC0">
        <w:rPr>
          <w:rFonts w:ascii="Arial" w:hAnsi="Arial" w:cs="Arial"/>
          <w:b w:val="0"/>
          <w:color w:val="auto"/>
          <w:sz w:val="24"/>
          <w:szCs w:val="24"/>
          <w:u w:val="single"/>
          <w:lang w:val="en-GB"/>
        </w:rPr>
        <w:t xml:space="preserve"> in the French Alps w</w:t>
      </w:r>
      <w:r w:rsidR="00F179CB" w:rsidRPr="00883FC0">
        <w:rPr>
          <w:rFonts w:ascii="Arial" w:hAnsi="Arial" w:cs="Arial"/>
          <w:b w:val="0"/>
          <w:color w:val="auto"/>
          <w:sz w:val="24"/>
          <w:szCs w:val="24"/>
          <w:u w:val="single"/>
          <w:lang w:val="en-GB"/>
        </w:rPr>
        <w:t>h</w:t>
      </w:r>
      <w:r w:rsidRPr="00883FC0">
        <w:rPr>
          <w:rFonts w:ascii="Arial" w:hAnsi="Arial" w:cs="Arial"/>
          <w:b w:val="0"/>
          <w:color w:val="auto"/>
          <w:sz w:val="24"/>
          <w:szCs w:val="24"/>
          <w:u w:val="single"/>
          <w:lang w:val="en-GB"/>
        </w:rPr>
        <w:t>ere</w:t>
      </w:r>
      <w:r w:rsidR="002237AC">
        <w:rPr>
          <w:rFonts w:ascii="Arial" w:hAnsi="Arial" w:cs="Arial"/>
          <w:b w:val="0"/>
          <w:color w:val="auto"/>
          <w:sz w:val="24"/>
          <w:szCs w:val="24"/>
          <w:u w:val="single"/>
          <w:lang w:val="en-GB"/>
        </w:rPr>
        <w:t xml:space="preserve"> </w:t>
      </w:r>
      <w:r w:rsidR="002237AC" w:rsidRPr="002237AC">
        <w:rPr>
          <w:rFonts w:ascii="Arial" w:hAnsi="Arial" w:cs="Arial"/>
          <w:b w:val="0"/>
          <w:color w:val="auto"/>
          <w:sz w:val="24"/>
          <w:szCs w:val="24"/>
          <w:highlight w:val="yellow"/>
          <w:u w:val="single"/>
          <w:lang w:val="en-GB"/>
        </w:rPr>
        <w:t>fecal samples from</w:t>
      </w:r>
      <w:r w:rsidRPr="00883FC0">
        <w:rPr>
          <w:rFonts w:ascii="Arial" w:hAnsi="Arial" w:cs="Arial"/>
          <w:b w:val="0"/>
          <w:color w:val="auto"/>
          <w:sz w:val="24"/>
          <w:szCs w:val="24"/>
          <w:u w:val="single"/>
          <w:lang w:val="en-GB"/>
        </w:rPr>
        <w:t xml:space="preserve"> sheep and ibex</w:t>
      </w:r>
      <w:r w:rsidR="002237AC">
        <w:rPr>
          <w:rFonts w:ascii="Arial" w:hAnsi="Arial" w:cs="Arial"/>
          <w:b w:val="0"/>
          <w:color w:val="auto"/>
          <w:sz w:val="24"/>
          <w:szCs w:val="24"/>
          <w:u w:val="single"/>
          <w:lang w:val="en-GB"/>
        </w:rPr>
        <w:t xml:space="preserve"> </w:t>
      </w:r>
      <w:r w:rsidRPr="00883FC0">
        <w:rPr>
          <w:rFonts w:ascii="Arial" w:hAnsi="Arial" w:cs="Arial"/>
          <w:b w:val="0"/>
          <w:color w:val="auto"/>
          <w:sz w:val="24"/>
          <w:szCs w:val="24"/>
          <w:u w:val="single"/>
          <w:lang w:val="en-GB"/>
        </w:rPr>
        <w:t>were collected.</w:t>
      </w:r>
      <w:bookmarkEnd w:id="9"/>
      <w:bookmarkEnd w:id="10"/>
      <w:r w:rsidRPr="003B2298">
        <w:rPr>
          <w:rFonts w:ascii="Arial" w:hAnsi="Arial" w:cs="Arial"/>
          <w:b w:val="0"/>
          <w:color w:val="auto"/>
          <w:sz w:val="24"/>
          <w:szCs w:val="24"/>
          <w:lang w:val="en-GB"/>
        </w:rPr>
        <w:t xml:space="preserve"> </w:t>
      </w:r>
      <w:r w:rsidR="002237AC" w:rsidRPr="003B2298">
        <w:rPr>
          <w:rFonts w:ascii="Arial" w:hAnsi="Arial" w:cs="Arial"/>
          <w:b w:val="0"/>
          <w:color w:val="auto"/>
          <w:sz w:val="24"/>
          <w:szCs w:val="24"/>
          <w:highlight w:val="yellow"/>
          <w:lang w:val="en-GB"/>
        </w:rPr>
        <w:t>In the Belledonne and Cerces</w:t>
      </w:r>
      <w:r w:rsidR="003B2298" w:rsidRPr="003B2298">
        <w:rPr>
          <w:rFonts w:ascii="Arial" w:hAnsi="Arial" w:cs="Arial"/>
          <w:b w:val="0"/>
          <w:color w:val="auto"/>
          <w:sz w:val="24"/>
          <w:szCs w:val="24"/>
          <w:highlight w:val="yellow"/>
          <w:lang w:val="en-GB"/>
        </w:rPr>
        <w:t xml:space="preserve"> areas, several pastoral units were sampled</w:t>
      </w:r>
      <w:r w:rsidR="003B2298">
        <w:rPr>
          <w:rFonts w:ascii="Arial" w:hAnsi="Arial" w:cs="Arial"/>
          <w:b w:val="0"/>
          <w:color w:val="auto"/>
          <w:sz w:val="24"/>
          <w:szCs w:val="24"/>
          <w:lang w:val="en-GB"/>
        </w:rPr>
        <w:t>:</w:t>
      </w:r>
      <w:r w:rsidR="000875D4" w:rsidRPr="003B2298">
        <w:rPr>
          <w:rFonts w:ascii="Arial" w:hAnsi="Arial" w:cs="Arial"/>
          <w:b w:val="0"/>
          <w:iCs/>
          <w:color w:val="auto"/>
          <w:sz w:val="24"/>
          <w:szCs w:val="24"/>
          <w:lang w:val="en-GB"/>
        </w:rPr>
        <w:t xml:space="preserve"> </w:t>
      </w:r>
      <w:r w:rsidR="003B2298" w:rsidRPr="003B2298">
        <w:rPr>
          <w:rFonts w:ascii="Arial" w:hAnsi="Arial" w:cs="Arial"/>
          <w:b w:val="0"/>
          <w:iCs/>
          <w:color w:val="auto"/>
          <w:sz w:val="24"/>
          <w:szCs w:val="24"/>
          <w:lang w:val="en-GB"/>
        </w:rPr>
        <w:t>Belledonne</w:t>
      </w:r>
      <w:r w:rsidR="003B2298">
        <w:rPr>
          <w:rFonts w:ascii="Arial" w:hAnsi="Arial" w:cs="Arial"/>
          <w:b w:val="0"/>
          <w:iCs/>
          <w:color w:val="auto"/>
          <w:sz w:val="24"/>
          <w:szCs w:val="24"/>
          <w:lang w:val="en-GB"/>
        </w:rPr>
        <w:t>:</w:t>
      </w:r>
      <w:r w:rsidR="003B2298" w:rsidRPr="003B2298">
        <w:rPr>
          <w:rFonts w:ascii="Arial" w:hAnsi="Arial" w:cs="Arial"/>
          <w:b w:val="0"/>
          <w:iCs/>
          <w:color w:val="auto"/>
          <w:sz w:val="24"/>
          <w:szCs w:val="24"/>
          <w:lang w:val="en-GB"/>
        </w:rPr>
        <w:t xml:space="preserve"> AB: </w:t>
      </w:r>
      <w:proofErr w:type="spellStart"/>
      <w:r w:rsidR="003B2298" w:rsidRPr="003B2298">
        <w:rPr>
          <w:rFonts w:ascii="Arial" w:hAnsi="Arial" w:cs="Arial"/>
          <w:b w:val="0"/>
          <w:iCs/>
          <w:color w:val="auto"/>
          <w:sz w:val="24"/>
          <w:szCs w:val="24"/>
          <w:lang w:val="en-GB"/>
        </w:rPr>
        <w:t>Ane</w:t>
      </w:r>
      <w:proofErr w:type="spellEnd"/>
      <w:r w:rsidR="003B2298" w:rsidRPr="003B2298">
        <w:rPr>
          <w:rFonts w:ascii="Arial" w:hAnsi="Arial" w:cs="Arial"/>
          <w:b w:val="0"/>
          <w:iCs/>
          <w:color w:val="auto"/>
          <w:sz w:val="24"/>
          <w:szCs w:val="24"/>
          <w:lang w:val="en-GB"/>
        </w:rPr>
        <w:t xml:space="preserve"> </w:t>
      </w:r>
      <w:proofErr w:type="spellStart"/>
      <w:r w:rsidR="003B2298" w:rsidRPr="003B2298">
        <w:rPr>
          <w:rFonts w:ascii="Arial" w:hAnsi="Arial" w:cs="Arial"/>
          <w:b w:val="0"/>
          <w:iCs/>
          <w:color w:val="auto"/>
          <w:sz w:val="24"/>
          <w:szCs w:val="24"/>
          <w:lang w:val="en-GB"/>
        </w:rPr>
        <w:t>Buyant</w:t>
      </w:r>
      <w:proofErr w:type="spellEnd"/>
      <w:r w:rsidR="003B2298" w:rsidRPr="003B2298">
        <w:rPr>
          <w:rFonts w:ascii="Arial" w:hAnsi="Arial" w:cs="Arial"/>
          <w:b w:val="0"/>
          <w:iCs/>
          <w:color w:val="auto"/>
          <w:sz w:val="24"/>
          <w:szCs w:val="24"/>
          <w:lang w:val="en-GB"/>
        </w:rPr>
        <w:t xml:space="preserve">, LP: La </w:t>
      </w:r>
      <w:proofErr w:type="spellStart"/>
      <w:r w:rsidR="003B2298" w:rsidRPr="003B2298">
        <w:rPr>
          <w:rFonts w:ascii="Arial" w:hAnsi="Arial" w:cs="Arial"/>
          <w:b w:val="0"/>
          <w:iCs/>
          <w:color w:val="auto"/>
          <w:sz w:val="24"/>
          <w:szCs w:val="24"/>
          <w:lang w:val="en-GB"/>
        </w:rPr>
        <w:t>Pesée</w:t>
      </w:r>
      <w:proofErr w:type="spellEnd"/>
      <w:r w:rsidR="003B2298" w:rsidRPr="003B2298">
        <w:rPr>
          <w:rFonts w:ascii="Arial" w:hAnsi="Arial" w:cs="Arial"/>
          <w:b w:val="0"/>
          <w:iCs/>
          <w:color w:val="auto"/>
          <w:sz w:val="24"/>
          <w:szCs w:val="24"/>
          <w:lang w:val="en-GB"/>
        </w:rPr>
        <w:t xml:space="preserve"> and SL: Sept Laux</w:t>
      </w:r>
      <w:r w:rsidR="003B2298">
        <w:rPr>
          <w:rFonts w:ascii="Arial" w:hAnsi="Arial" w:cs="Arial"/>
          <w:b w:val="0"/>
          <w:iCs/>
          <w:color w:val="auto"/>
          <w:sz w:val="24"/>
          <w:szCs w:val="24"/>
          <w:lang w:val="en-GB"/>
        </w:rPr>
        <w:t xml:space="preserve">, </w:t>
      </w:r>
      <w:r w:rsidR="003B2298" w:rsidRPr="003B2298">
        <w:rPr>
          <w:rFonts w:ascii="Arial" w:hAnsi="Arial" w:cs="Arial"/>
          <w:b w:val="0"/>
          <w:iCs/>
          <w:color w:val="auto"/>
          <w:sz w:val="24"/>
          <w:szCs w:val="24"/>
          <w:lang w:val="en-GB"/>
        </w:rPr>
        <w:t xml:space="preserve">Cerces: </w:t>
      </w:r>
      <w:r w:rsidR="000875D4" w:rsidRPr="003B2298">
        <w:rPr>
          <w:rFonts w:ascii="Arial" w:hAnsi="Arial" w:cs="Arial"/>
          <w:b w:val="0"/>
          <w:iCs/>
          <w:color w:val="auto"/>
          <w:sz w:val="24"/>
          <w:szCs w:val="24"/>
          <w:lang w:val="en-GB"/>
        </w:rPr>
        <w:t xml:space="preserve">AL: Aiguillette de </w:t>
      </w:r>
      <w:proofErr w:type="spellStart"/>
      <w:r w:rsidR="000875D4" w:rsidRPr="003B2298">
        <w:rPr>
          <w:rFonts w:ascii="Arial" w:hAnsi="Arial" w:cs="Arial"/>
          <w:b w:val="0"/>
          <w:iCs/>
          <w:color w:val="auto"/>
          <w:sz w:val="24"/>
          <w:szCs w:val="24"/>
          <w:lang w:val="en-GB"/>
        </w:rPr>
        <w:t>Lauzet</w:t>
      </w:r>
      <w:proofErr w:type="spellEnd"/>
      <w:r w:rsidR="000875D4" w:rsidRPr="003B2298">
        <w:rPr>
          <w:rFonts w:ascii="Arial" w:hAnsi="Arial" w:cs="Arial"/>
          <w:b w:val="0"/>
          <w:iCs/>
          <w:color w:val="auto"/>
          <w:sz w:val="24"/>
          <w:szCs w:val="24"/>
          <w:lang w:val="en-GB"/>
        </w:rPr>
        <w:t xml:space="preserve">, and MO: Montagne de </w:t>
      </w:r>
      <w:proofErr w:type="spellStart"/>
      <w:r w:rsidR="000875D4" w:rsidRPr="003B2298">
        <w:rPr>
          <w:rFonts w:ascii="Arial" w:hAnsi="Arial" w:cs="Arial"/>
          <w:b w:val="0"/>
          <w:iCs/>
          <w:color w:val="auto"/>
          <w:sz w:val="24"/>
          <w:szCs w:val="24"/>
          <w:lang w:val="en-GB"/>
        </w:rPr>
        <w:t>l’Oule</w:t>
      </w:r>
      <w:proofErr w:type="spellEnd"/>
      <w:r w:rsidR="003B2298" w:rsidRPr="003B2298">
        <w:rPr>
          <w:rFonts w:ascii="Arial" w:hAnsi="Arial" w:cs="Arial"/>
          <w:b w:val="0"/>
          <w:iCs/>
          <w:color w:val="auto"/>
          <w:sz w:val="24"/>
          <w:szCs w:val="24"/>
          <w:lang w:val="en-GB"/>
        </w:rPr>
        <w:t>.</w:t>
      </w:r>
    </w:p>
    <w:p w14:paraId="35D92625" w14:textId="77777777" w:rsidR="00A0712B" w:rsidRPr="003B2298" w:rsidRDefault="00A0712B" w:rsidP="00A0712B">
      <w:pPr>
        <w:rPr>
          <w:lang w:val="en-GB"/>
        </w:rPr>
      </w:pPr>
    </w:p>
    <w:p w14:paraId="741CD046" w14:textId="6C540CD3" w:rsidR="00685709" w:rsidRPr="00883FC0" w:rsidRDefault="00685709" w:rsidP="00A0712B">
      <w:pPr>
        <w:spacing w:after="0" w:line="360" w:lineRule="auto"/>
        <w:ind w:firstLine="708"/>
        <w:jc w:val="both"/>
        <w:rPr>
          <w:rFonts w:ascii="Arial" w:hAnsi="Arial" w:cs="Arial"/>
          <w:sz w:val="24"/>
          <w:szCs w:val="24"/>
          <w:lang w:val="en-GB"/>
        </w:rPr>
      </w:pPr>
      <w:r w:rsidRPr="00883FC0">
        <w:rPr>
          <w:rFonts w:ascii="Arial" w:hAnsi="Arial" w:cs="Arial"/>
          <w:sz w:val="24"/>
          <w:szCs w:val="24"/>
          <w:lang w:val="en-GB"/>
        </w:rPr>
        <w:t xml:space="preserve">The </w:t>
      </w:r>
      <w:r w:rsidR="003B2298" w:rsidRPr="003B2298">
        <w:rPr>
          <w:rFonts w:ascii="Arial" w:hAnsi="Arial" w:cs="Arial"/>
          <w:sz w:val="24"/>
          <w:szCs w:val="24"/>
          <w:highlight w:val="yellow"/>
          <w:lang w:val="en-GB"/>
        </w:rPr>
        <w:t>three</w:t>
      </w:r>
      <w:r w:rsidRPr="00883FC0">
        <w:rPr>
          <w:rFonts w:ascii="Arial" w:hAnsi="Arial" w:cs="Arial"/>
          <w:sz w:val="24"/>
          <w:szCs w:val="24"/>
          <w:lang w:val="en-GB"/>
        </w:rPr>
        <w:t xml:space="preserve"> </w:t>
      </w:r>
      <w:r w:rsidR="003B2298" w:rsidRPr="003B2298">
        <w:rPr>
          <w:rFonts w:ascii="Arial" w:hAnsi="Arial" w:cs="Arial"/>
          <w:sz w:val="24"/>
          <w:szCs w:val="24"/>
          <w:highlight w:val="yellow"/>
          <w:lang w:val="en-GB"/>
        </w:rPr>
        <w:t>mountain</w:t>
      </w:r>
      <w:r w:rsidRPr="00883FC0">
        <w:rPr>
          <w:rFonts w:ascii="Arial" w:hAnsi="Arial" w:cs="Arial"/>
          <w:sz w:val="24"/>
          <w:szCs w:val="24"/>
          <w:lang w:val="en-GB"/>
        </w:rPr>
        <w:t xml:space="preserve"> </w:t>
      </w:r>
      <w:r w:rsidR="001452FC">
        <w:rPr>
          <w:rFonts w:ascii="Arial" w:hAnsi="Arial" w:cs="Arial"/>
          <w:sz w:val="24"/>
          <w:szCs w:val="24"/>
          <w:lang w:val="en-GB"/>
        </w:rPr>
        <w:t xml:space="preserve">areas </w:t>
      </w:r>
      <w:r w:rsidRPr="00883FC0">
        <w:rPr>
          <w:rFonts w:ascii="Arial" w:hAnsi="Arial" w:cs="Arial"/>
          <w:sz w:val="24"/>
          <w:szCs w:val="24"/>
          <w:lang w:val="en-GB"/>
        </w:rPr>
        <w:t>are characterized by the presence of steep slopes, high peaks (&gt;2500m) and agropastoral activities. Climatic conditions are harsh in these mountains with a mean temperature in winter (December-March) 2015-2019 of 0°C in Belledonne (alt:1785m), 1°C in Champsaur (alt:1620m) and 1.5°C in Cerces (alt:1553m). During summer (June-September), the mean temperature is 13°C in Belledonne, 14°C in Champsaur and 16°C in the Cerces (</w:t>
      </w:r>
      <w:proofErr w:type="spellStart"/>
      <w:r w:rsidR="0085529F" w:rsidRPr="00883FC0">
        <w:rPr>
          <w:rFonts w:ascii="Arial" w:hAnsi="Arial" w:cs="Arial"/>
          <w:sz w:val="24"/>
          <w:szCs w:val="24"/>
          <w:lang w:val="en-GB"/>
        </w:rPr>
        <w:t>R</w:t>
      </w:r>
      <w:r w:rsidRPr="00883FC0">
        <w:rPr>
          <w:rFonts w:ascii="Arial" w:hAnsi="Arial" w:cs="Arial"/>
          <w:sz w:val="24"/>
          <w:szCs w:val="24"/>
          <w:lang w:val="en-GB"/>
        </w:rPr>
        <w:t>éseau</w:t>
      </w:r>
      <w:proofErr w:type="spellEnd"/>
      <w:r w:rsidRPr="00883FC0">
        <w:rPr>
          <w:rFonts w:ascii="Arial" w:hAnsi="Arial" w:cs="Arial"/>
          <w:sz w:val="24"/>
          <w:szCs w:val="24"/>
          <w:lang w:val="en-GB"/>
        </w:rPr>
        <w:t xml:space="preserve"> </w:t>
      </w:r>
      <w:proofErr w:type="spellStart"/>
      <w:r w:rsidR="0085529F" w:rsidRPr="00883FC0">
        <w:rPr>
          <w:rFonts w:ascii="Arial" w:hAnsi="Arial" w:cs="Arial"/>
          <w:sz w:val="24"/>
          <w:szCs w:val="24"/>
          <w:lang w:val="en-GB"/>
        </w:rPr>
        <w:t>d’Observation</w:t>
      </w:r>
      <w:proofErr w:type="spellEnd"/>
      <w:r w:rsidR="0085529F" w:rsidRPr="00883FC0">
        <w:rPr>
          <w:rFonts w:ascii="Arial" w:hAnsi="Arial" w:cs="Arial"/>
          <w:sz w:val="24"/>
          <w:szCs w:val="24"/>
          <w:lang w:val="en-GB"/>
        </w:rPr>
        <w:t xml:space="preserve"> </w:t>
      </w:r>
      <w:proofErr w:type="spellStart"/>
      <w:r w:rsidR="0085529F" w:rsidRPr="00883FC0">
        <w:rPr>
          <w:rFonts w:ascii="Arial" w:hAnsi="Arial" w:cs="Arial"/>
          <w:sz w:val="24"/>
          <w:szCs w:val="24"/>
          <w:lang w:val="en-GB"/>
        </w:rPr>
        <w:t>Météo</w:t>
      </w:r>
      <w:proofErr w:type="spellEnd"/>
      <w:r w:rsidR="0085529F" w:rsidRPr="00883FC0">
        <w:rPr>
          <w:rFonts w:ascii="Arial" w:hAnsi="Arial" w:cs="Arial"/>
          <w:sz w:val="24"/>
          <w:szCs w:val="24"/>
          <w:lang w:val="en-GB"/>
        </w:rPr>
        <w:t xml:space="preserve"> </w:t>
      </w:r>
      <w:r w:rsidRPr="00883FC0">
        <w:rPr>
          <w:rFonts w:ascii="Arial" w:hAnsi="Arial" w:cs="Arial"/>
          <w:sz w:val="24"/>
          <w:szCs w:val="24"/>
          <w:lang w:val="en-GB"/>
        </w:rPr>
        <w:t xml:space="preserve">du </w:t>
      </w:r>
      <w:r w:rsidR="0085529F" w:rsidRPr="00883FC0">
        <w:rPr>
          <w:rFonts w:ascii="Arial" w:hAnsi="Arial" w:cs="Arial"/>
          <w:sz w:val="24"/>
          <w:szCs w:val="24"/>
          <w:lang w:val="en-GB"/>
        </w:rPr>
        <w:t xml:space="preserve">Massif Alpin; </w:t>
      </w:r>
      <w:hyperlink r:id="rId7" w:tgtFrame="_self" w:history="1">
        <w:r w:rsidR="00801F11" w:rsidRPr="00883FC0">
          <w:rPr>
            <w:rStyle w:val="Lienhypertexte"/>
            <w:rFonts w:ascii="Arial" w:hAnsi="Arial" w:cs="Arial"/>
            <w:sz w:val="24"/>
            <w:szCs w:val="24"/>
            <w:lang w:val="en-US"/>
          </w:rPr>
          <w:t>www.romma.fr</w:t>
        </w:r>
      </w:hyperlink>
      <w:r w:rsidRPr="00883FC0">
        <w:rPr>
          <w:rFonts w:ascii="Arial" w:hAnsi="Arial" w:cs="Arial"/>
          <w:sz w:val="24"/>
          <w:szCs w:val="24"/>
          <w:lang w:val="en-GB"/>
        </w:rPr>
        <w:t>). Champsaur</w:t>
      </w:r>
      <w:r w:rsidR="0033579C" w:rsidRPr="00883FC0">
        <w:rPr>
          <w:rFonts w:ascii="Arial" w:hAnsi="Arial" w:cs="Arial"/>
          <w:sz w:val="24"/>
          <w:szCs w:val="24"/>
          <w:lang w:val="en-GB"/>
        </w:rPr>
        <w:t>, the</w:t>
      </w:r>
      <w:r w:rsidR="003B2298">
        <w:rPr>
          <w:rFonts w:ascii="Arial" w:hAnsi="Arial" w:cs="Arial"/>
          <w:sz w:val="24"/>
          <w:szCs w:val="24"/>
          <w:lang w:val="en-GB"/>
        </w:rPr>
        <w:t xml:space="preserve"> </w:t>
      </w:r>
      <w:r w:rsidR="0033579C" w:rsidRPr="00883FC0">
        <w:rPr>
          <w:rFonts w:ascii="Arial" w:hAnsi="Arial" w:cs="Arial"/>
          <w:sz w:val="24"/>
          <w:szCs w:val="24"/>
          <w:lang w:val="en-GB"/>
        </w:rPr>
        <w:t>southern study area,</w:t>
      </w:r>
      <w:r w:rsidRPr="00883FC0">
        <w:rPr>
          <w:rFonts w:ascii="Arial" w:hAnsi="Arial" w:cs="Arial"/>
          <w:sz w:val="24"/>
          <w:szCs w:val="24"/>
          <w:lang w:val="en-GB"/>
        </w:rPr>
        <w:t xml:space="preserve"> has a Mediterranean influence. Consequently, rainfall is less important in this area compared to Cerces and Belledonne. </w:t>
      </w:r>
      <w:r w:rsidR="0033579C" w:rsidRPr="00883FC0">
        <w:rPr>
          <w:rFonts w:ascii="Arial" w:hAnsi="Arial" w:cs="Arial"/>
          <w:sz w:val="24"/>
          <w:szCs w:val="24"/>
          <w:lang w:val="en-GB"/>
        </w:rPr>
        <w:t>Across areas, the v</w:t>
      </w:r>
      <w:r w:rsidRPr="00883FC0">
        <w:rPr>
          <w:rFonts w:ascii="Arial" w:hAnsi="Arial" w:cs="Arial"/>
          <w:sz w:val="24"/>
          <w:szCs w:val="24"/>
          <w:lang w:val="en-GB"/>
        </w:rPr>
        <w:t>egetation is distributed along an elevation gradient from coniferous woodland (</w:t>
      </w:r>
      <w:r w:rsidRPr="00883FC0">
        <w:rPr>
          <w:rFonts w:ascii="Arial" w:hAnsi="Arial" w:cs="Arial"/>
          <w:i/>
          <w:sz w:val="24"/>
          <w:szCs w:val="24"/>
          <w:lang w:val="en-GB"/>
        </w:rPr>
        <w:t>Abies alba</w:t>
      </w:r>
      <w:r w:rsidRPr="00883FC0">
        <w:rPr>
          <w:rFonts w:ascii="Arial" w:hAnsi="Arial" w:cs="Arial"/>
          <w:sz w:val="24"/>
          <w:szCs w:val="24"/>
          <w:lang w:val="en-GB"/>
        </w:rPr>
        <w:t xml:space="preserve"> and </w:t>
      </w:r>
      <w:r w:rsidRPr="00883FC0">
        <w:rPr>
          <w:rFonts w:ascii="Arial" w:hAnsi="Arial" w:cs="Arial"/>
          <w:i/>
          <w:sz w:val="24"/>
          <w:szCs w:val="24"/>
          <w:lang w:val="en-GB"/>
        </w:rPr>
        <w:t>Picea abies</w:t>
      </w:r>
      <w:r w:rsidRPr="00883FC0">
        <w:rPr>
          <w:rFonts w:ascii="Arial" w:hAnsi="Arial" w:cs="Arial"/>
          <w:sz w:val="24"/>
          <w:szCs w:val="24"/>
          <w:lang w:val="en-GB"/>
        </w:rPr>
        <w:t xml:space="preserve"> in Belledonne and </w:t>
      </w:r>
      <w:r w:rsidRPr="00883FC0">
        <w:rPr>
          <w:rFonts w:ascii="Arial" w:hAnsi="Arial" w:cs="Arial"/>
          <w:i/>
          <w:sz w:val="24"/>
          <w:szCs w:val="24"/>
          <w:lang w:val="en-GB"/>
        </w:rPr>
        <w:t>Larix decidua</w:t>
      </w:r>
      <w:r w:rsidRPr="00883FC0">
        <w:rPr>
          <w:rFonts w:ascii="Arial" w:hAnsi="Arial" w:cs="Arial"/>
          <w:sz w:val="24"/>
          <w:szCs w:val="24"/>
          <w:lang w:val="en-GB"/>
        </w:rPr>
        <w:t xml:space="preserve"> and </w:t>
      </w:r>
      <w:r w:rsidRPr="00883FC0">
        <w:rPr>
          <w:rFonts w:ascii="Arial" w:hAnsi="Arial" w:cs="Arial"/>
          <w:i/>
          <w:sz w:val="24"/>
          <w:szCs w:val="24"/>
          <w:lang w:val="en-GB"/>
        </w:rPr>
        <w:t>Pinus sylvestris</w:t>
      </w:r>
      <w:r w:rsidRPr="00883FC0">
        <w:rPr>
          <w:rFonts w:ascii="Arial" w:hAnsi="Arial" w:cs="Arial"/>
          <w:sz w:val="24"/>
          <w:szCs w:val="24"/>
          <w:lang w:val="en-GB"/>
        </w:rPr>
        <w:t xml:space="preserve"> in Cerces and Champsaur) in the lower range of ibex, to a landscape dominated by heathland with </w:t>
      </w:r>
      <w:r w:rsidRPr="00883FC0">
        <w:rPr>
          <w:rFonts w:ascii="Arial" w:hAnsi="Arial" w:cs="Arial"/>
          <w:i/>
          <w:sz w:val="24"/>
          <w:szCs w:val="24"/>
          <w:lang w:val="en-GB"/>
        </w:rPr>
        <w:t xml:space="preserve">Rhododendron </w:t>
      </w:r>
      <w:proofErr w:type="spellStart"/>
      <w:r w:rsidRPr="00883FC0">
        <w:rPr>
          <w:rFonts w:ascii="Arial" w:hAnsi="Arial" w:cs="Arial"/>
          <w:i/>
          <w:sz w:val="24"/>
          <w:szCs w:val="24"/>
          <w:lang w:val="en-GB"/>
        </w:rPr>
        <w:lastRenderedPageBreak/>
        <w:t>ferrugineum</w:t>
      </w:r>
      <w:proofErr w:type="spellEnd"/>
      <w:r w:rsidRPr="00883FC0">
        <w:rPr>
          <w:rFonts w:ascii="Arial" w:hAnsi="Arial" w:cs="Arial"/>
          <w:sz w:val="24"/>
          <w:szCs w:val="24"/>
          <w:lang w:val="en-GB"/>
        </w:rPr>
        <w:t xml:space="preserve">, </w:t>
      </w:r>
      <w:r w:rsidRPr="00883FC0">
        <w:rPr>
          <w:rFonts w:ascii="Arial" w:hAnsi="Arial" w:cs="Arial"/>
          <w:i/>
          <w:sz w:val="24"/>
          <w:szCs w:val="24"/>
          <w:lang w:val="en-GB"/>
        </w:rPr>
        <w:t xml:space="preserve">Vaccinium </w:t>
      </w:r>
      <w:r w:rsidRPr="00883FC0">
        <w:rPr>
          <w:rFonts w:ascii="Arial" w:hAnsi="Arial" w:cs="Arial"/>
          <w:sz w:val="24"/>
          <w:szCs w:val="24"/>
          <w:lang w:val="en-GB"/>
        </w:rPr>
        <w:t xml:space="preserve">spp. and </w:t>
      </w:r>
      <w:r w:rsidRPr="00883FC0">
        <w:rPr>
          <w:rFonts w:ascii="Arial" w:hAnsi="Arial" w:cs="Arial"/>
          <w:i/>
          <w:sz w:val="24"/>
          <w:szCs w:val="24"/>
          <w:lang w:val="en-GB"/>
        </w:rPr>
        <w:t>Juniperus communis</w:t>
      </w:r>
      <w:r w:rsidRPr="00883FC0">
        <w:rPr>
          <w:rFonts w:ascii="Arial" w:hAnsi="Arial" w:cs="Arial"/>
          <w:sz w:val="24"/>
          <w:szCs w:val="24"/>
          <w:lang w:val="en-GB"/>
        </w:rPr>
        <w:t>, and grassland (</w:t>
      </w:r>
      <w:proofErr w:type="spellStart"/>
      <w:r w:rsidRPr="00883FC0">
        <w:rPr>
          <w:rFonts w:ascii="Arial" w:hAnsi="Arial" w:cs="Arial"/>
          <w:i/>
          <w:sz w:val="24"/>
          <w:szCs w:val="24"/>
          <w:lang w:val="en-GB"/>
        </w:rPr>
        <w:t>Carex</w:t>
      </w:r>
      <w:proofErr w:type="spellEnd"/>
      <w:r w:rsidRPr="00883FC0">
        <w:rPr>
          <w:rFonts w:ascii="Arial" w:hAnsi="Arial" w:cs="Arial"/>
          <w:sz w:val="24"/>
          <w:szCs w:val="24"/>
          <w:lang w:val="en-GB"/>
        </w:rPr>
        <w:t xml:space="preserve"> spp. </w:t>
      </w:r>
      <w:r w:rsidRPr="00883FC0">
        <w:rPr>
          <w:rFonts w:ascii="Arial" w:hAnsi="Arial" w:cs="Arial"/>
          <w:i/>
          <w:sz w:val="24"/>
          <w:szCs w:val="24"/>
          <w:lang w:val="en-GB"/>
        </w:rPr>
        <w:t>Festuca</w:t>
      </w:r>
      <w:r w:rsidRPr="00883FC0">
        <w:rPr>
          <w:rFonts w:ascii="Arial" w:hAnsi="Arial" w:cs="Arial"/>
          <w:sz w:val="24"/>
          <w:szCs w:val="24"/>
          <w:lang w:val="en-GB"/>
        </w:rPr>
        <w:t xml:space="preserve"> spp.) above the tree line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{"citationID":"AEh9Kxdt","properties":{"formattedCitation":"(Ozenda, 1985)","plainCitation":"(Ozenda, 1985)","noteIndex":0},"citationItems":[{"id":3429,"uris":["http://zotero.org/users/local/NciqjDvn/items/2EPUMJUA"],"itemData":{"id":3429,"type":"book","event-place":"Paris","ISBN":"978-2-225-80510-3","language":"Français","number-of-pages":"330","publisher":"Masson","publisher-place":"Paris","source":"Amazon","title":"La végétation de la chaîne alpine dans l'espace montagnard européen","author":[{"family":"Ozenda","given":"Paul"}],"issued":{"date-parts":[["1985",4,30]]}}}],"schema":"https://github.com/citation-style-language/schema/raw/master/csl-citation.json"}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(Ozenda, 1985)</w:t>
      </w:r>
      <w:r w:rsidRPr="00883FC0">
        <w:rPr>
          <w:rFonts w:ascii="Arial" w:hAnsi="Arial" w:cs="Arial"/>
          <w:sz w:val="24"/>
          <w:szCs w:val="24"/>
          <w:lang w:val="en-GB"/>
        </w:rPr>
        <w:fldChar w:fldCharType="end"/>
      </w:r>
      <w:r w:rsidRPr="00883FC0">
        <w:rPr>
          <w:rFonts w:ascii="Arial" w:hAnsi="Arial" w:cs="Arial"/>
          <w:sz w:val="24"/>
          <w:szCs w:val="24"/>
          <w:lang w:val="en-GB"/>
        </w:rPr>
        <w:t>.</w:t>
      </w:r>
    </w:p>
    <w:p w14:paraId="106F0E3C" w14:textId="485C1AF4" w:rsidR="00685709" w:rsidRPr="00883FC0" w:rsidRDefault="00685709" w:rsidP="00A0712B">
      <w:pPr>
        <w:spacing w:after="0" w:line="360" w:lineRule="auto"/>
        <w:ind w:firstLine="708"/>
        <w:jc w:val="both"/>
        <w:rPr>
          <w:rFonts w:ascii="Arial" w:hAnsi="Arial" w:cs="Arial"/>
          <w:sz w:val="24"/>
          <w:szCs w:val="24"/>
          <w:lang w:val="en-GB"/>
        </w:rPr>
      </w:pPr>
      <w:r w:rsidRPr="00883FC0">
        <w:rPr>
          <w:rFonts w:ascii="Arial" w:hAnsi="Arial" w:cs="Arial"/>
          <w:sz w:val="24"/>
          <w:szCs w:val="24"/>
          <w:lang w:val="en-GB"/>
        </w:rPr>
        <w:t>The ibex populations were established in Belledonne</w:t>
      </w:r>
      <w:r w:rsidR="003B2298">
        <w:rPr>
          <w:rFonts w:ascii="Arial" w:hAnsi="Arial" w:cs="Arial"/>
          <w:sz w:val="24"/>
          <w:szCs w:val="24"/>
          <w:lang w:val="en-GB"/>
        </w:rPr>
        <w:t xml:space="preserve"> </w:t>
      </w:r>
      <w:r w:rsidR="003B2298" w:rsidRPr="00883FC0">
        <w:rPr>
          <w:rFonts w:ascii="Arial" w:hAnsi="Arial" w:cs="Arial"/>
          <w:sz w:val="24"/>
          <w:szCs w:val="24"/>
          <w:lang w:val="en-GB"/>
        </w:rPr>
        <w:t>in 1983 with the introduction of 20 ibex</w:t>
      </w:r>
      <w:r w:rsidRPr="00883FC0">
        <w:rPr>
          <w:rFonts w:ascii="Arial" w:hAnsi="Arial" w:cs="Arial"/>
          <w:sz w:val="24"/>
          <w:szCs w:val="24"/>
          <w:lang w:val="en-GB"/>
        </w:rPr>
        <w:t>,</w:t>
      </w:r>
      <w:r w:rsidR="003B2298">
        <w:rPr>
          <w:rFonts w:ascii="Arial" w:hAnsi="Arial" w:cs="Arial"/>
          <w:sz w:val="24"/>
          <w:szCs w:val="24"/>
          <w:lang w:val="en-GB"/>
        </w:rPr>
        <w:t xml:space="preserve"> </w:t>
      </w:r>
      <w:r w:rsidR="003B2298" w:rsidRPr="003B2298">
        <w:rPr>
          <w:rFonts w:ascii="Arial" w:hAnsi="Arial" w:cs="Arial"/>
          <w:sz w:val="24"/>
          <w:szCs w:val="24"/>
          <w:highlight w:val="yellow"/>
          <w:lang w:val="en-GB"/>
        </w:rPr>
        <w:t>in</w:t>
      </w:r>
      <w:r w:rsidRPr="00883FC0">
        <w:rPr>
          <w:rFonts w:ascii="Arial" w:hAnsi="Arial" w:cs="Arial"/>
          <w:sz w:val="24"/>
          <w:szCs w:val="24"/>
          <w:lang w:val="en-GB"/>
        </w:rPr>
        <w:t xml:space="preserve"> Cerces</w:t>
      </w:r>
      <w:r w:rsidR="003B2298" w:rsidRPr="00883FC0">
        <w:rPr>
          <w:rFonts w:ascii="Arial" w:hAnsi="Arial" w:cs="Arial"/>
          <w:sz w:val="24"/>
          <w:szCs w:val="24"/>
          <w:lang w:val="en-GB"/>
        </w:rPr>
        <w:t>, in 1959-1961 with the introduction of 6 ibex</w:t>
      </w:r>
      <w:r w:rsidR="003B2298" w:rsidRPr="003B2298">
        <w:rPr>
          <w:rFonts w:ascii="Arial" w:hAnsi="Arial" w:cs="Arial"/>
          <w:sz w:val="24"/>
          <w:szCs w:val="24"/>
          <w:highlight w:val="yellow"/>
          <w:lang w:val="en-GB"/>
        </w:rPr>
        <w:t>,</w:t>
      </w:r>
      <w:r w:rsidR="003B2298">
        <w:rPr>
          <w:rFonts w:ascii="Arial" w:hAnsi="Arial" w:cs="Arial"/>
          <w:sz w:val="24"/>
          <w:szCs w:val="24"/>
          <w:lang w:val="en-GB"/>
        </w:rPr>
        <w:t xml:space="preserve"> </w:t>
      </w:r>
      <w:r w:rsidRPr="00883FC0">
        <w:rPr>
          <w:rFonts w:ascii="Arial" w:hAnsi="Arial" w:cs="Arial"/>
          <w:sz w:val="24"/>
          <w:szCs w:val="24"/>
          <w:lang w:val="en-GB"/>
        </w:rPr>
        <w:t xml:space="preserve">and </w:t>
      </w:r>
      <w:r w:rsidR="003B2298" w:rsidRPr="003B2298">
        <w:rPr>
          <w:rFonts w:ascii="Arial" w:hAnsi="Arial" w:cs="Arial"/>
          <w:sz w:val="24"/>
          <w:szCs w:val="24"/>
          <w:highlight w:val="yellow"/>
          <w:lang w:val="en-GB"/>
        </w:rPr>
        <w:t>in</w:t>
      </w:r>
      <w:r w:rsidR="003B2298">
        <w:rPr>
          <w:rFonts w:ascii="Arial" w:hAnsi="Arial" w:cs="Arial"/>
          <w:sz w:val="24"/>
          <w:szCs w:val="24"/>
          <w:lang w:val="en-GB"/>
        </w:rPr>
        <w:t xml:space="preserve"> </w:t>
      </w:r>
      <w:r w:rsidRPr="00883FC0">
        <w:rPr>
          <w:rFonts w:ascii="Arial" w:hAnsi="Arial" w:cs="Arial"/>
          <w:sz w:val="24"/>
          <w:szCs w:val="24"/>
          <w:lang w:val="en-GB"/>
        </w:rPr>
        <w:t>Champsaur in 1994-1995 with the introduction of 30 ibex.</w:t>
      </w:r>
      <w:r w:rsidR="0054110F" w:rsidRPr="00883FC0">
        <w:rPr>
          <w:rFonts w:ascii="Arial" w:hAnsi="Arial" w:cs="Arial"/>
          <w:sz w:val="24"/>
          <w:szCs w:val="24"/>
          <w:lang w:val="en-GB"/>
        </w:rPr>
        <w:t xml:space="preserve"> Traditional pastoral activity is practiced in all massifs, where sheep flocks arrive</w:t>
      </w:r>
      <w:r w:rsidR="0033579C" w:rsidRPr="00883FC0">
        <w:rPr>
          <w:rFonts w:ascii="Arial" w:hAnsi="Arial" w:cs="Arial"/>
          <w:sz w:val="24"/>
          <w:szCs w:val="24"/>
          <w:lang w:val="en-GB"/>
        </w:rPr>
        <w:t xml:space="preserve"> from the plain on foot or by truck in</w:t>
      </w:r>
      <w:r w:rsidR="0054110F" w:rsidRPr="00883FC0">
        <w:rPr>
          <w:rFonts w:ascii="Arial" w:hAnsi="Arial" w:cs="Arial"/>
          <w:sz w:val="24"/>
          <w:szCs w:val="24"/>
          <w:lang w:val="en-GB"/>
        </w:rPr>
        <w:t xml:space="preserve"> early summer to graze mountain pastures</w:t>
      </w:r>
      <w:r w:rsidR="00B3459F" w:rsidRPr="00883FC0">
        <w:rPr>
          <w:rFonts w:ascii="Arial" w:hAnsi="Arial" w:cs="Arial"/>
          <w:sz w:val="24"/>
          <w:szCs w:val="24"/>
          <w:lang w:val="en-GB"/>
        </w:rPr>
        <w:t>.</w:t>
      </w:r>
    </w:p>
    <w:p w14:paraId="309AF63B" w14:textId="08D320F2" w:rsidR="0054110F" w:rsidRPr="00883FC0" w:rsidRDefault="0054110F" w:rsidP="00A0712B">
      <w:pPr>
        <w:spacing w:after="0" w:line="360" w:lineRule="auto"/>
        <w:ind w:firstLine="708"/>
        <w:jc w:val="both"/>
        <w:rPr>
          <w:rFonts w:ascii="Arial" w:hAnsi="Arial" w:cs="Arial"/>
          <w:sz w:val="24"/>
          <w:szCs w:val="24"/>
          <w:lang w:val="en-GB"/>
        </w:rPr>
      </w:pPr>
      <w:r w:rsidRPr="00883FC0">
        <w:rPr>
          <w:rFonts w:ascii="Arial" w:hAnsi="Arial" w:cs="Arial"/>
          <w:sz w:val="24"/>
          <w:szCs w:val="24"/>
          <w:lang w:val="en-GB"/>
        </w:rPr>
        <w:t>In the Belledonne mountain, the distribution of ibex range between 630m and 2860m o</w:t>
      </w:r>
      <w:r w:rsidR="0033579C" w:rsidRPr="00883FC0">
        <w:rPr>
          <w:rFonts w:ascii="Arial" w:hAnsi="Arial" w:cs="Arial"/>
          <w:sz w:val="24"/>
          <w:szCs w:val="24"/>
          <w:lang w:val="en-GB"/>
        </w:rPr>
        <w:t>ver</w:t>
      </w:r>
      <w:r w:rsidRPr="00883FC0">
        <w:rPr>
          <w:rFonts w:ascii="Arial" w:hAnsi="Arial" w:cs="Arial"/>
          <w:sz w:val="24"/>
          <w:szCs w:val="24"/>
          <w:lang w:val="en-GB"/>
        </w:rPr>
        <w:t xml:space="preserve"> 200km². </w:t>
      </w:r>
      <w:r w:rsidR="00CD0BA4" w:rsidRPr="00883FC0">
        <w:rPr>
          <w:rFonts w:ascii="Arial" w:hAnsi="Arial" w:cs="Arial"/>
          <w:sz w:val="24"/>
          <w:szCs w:val="24"/>
          <w:lang w:val="en-GB"/>
        </w:rPr>
        <w:t>P</w:t>
      </w:r>
      <w:r w:rsidRPr="00883FC0">
        <w:rPr>
          <w:rFonts w:ascii="Arial" w:hAnsi="Arial" w:cs="Arial"/>
          <w:sz w:val="24"/>
          <w:szCs w:val="24"/>
          <w:lang w:val="en-GB"/>
        </w:rPr>
        <w:t xml:space="preserve">opulation size is estimated </w:t>
      </w:r>
      <w:r w:rsidR="0033579C" w:rsidRPr="00883FC0">
        <w:rPr>
          <w:rFonts w:ascii="Arial" w:hAnsi="Arial" w:cs="Arial"/>
          <w:sz w:val="24"/>
          <w:szCs w:val="24"/>
          <w:lang w:val="en-GB"/>
        </w:rPr>
        <w:t>at</w:t>
      </w:r>
      <w:r w:rsidRPr="00883FC0">
        <w:rPr>
          <w:rFonts w:ascii="Arial" w:hAnsi="Arial" w:cs="Arial"/>
          <w:sz w:val="24"/>
          <w:szCs w:val="24"/>
          <w:lang w:val="en-GB"/>
        </w:rPr>
        <w:t xml:space="preserve"> 800</w:t>
      </w:r>
      <w:r w:rsidR="0033579C" w:rsidRPr="00883FC0">
        <w:rPr>
          <w:rFonts w:ascii="Arial" w:hAnsi="Arial" w:cs="Arial"/>
          <w:sz w:val="24"/>
          <w:szCs w:val="24"/>
          <w:lang w:val="en-GB"/>
        </w:rPr>
        <w:t xml:space="preserve"> individuals</w:t>
      </w:r>
      <w:r w:rsidRPr="00883FC0">
        <w:rPr>
          <w:rFonts w:ascii="Arial" w:hAnsi="Arial" w:cs="Arial"/>
          <w:sz w:val="24"/>
          <w:szCs w:val="24"/>
          <w:lang w:val="en-GB"/>
        </w:rPr>
        <w:t>.</w:t>
      </w:r>
      <w:r w:rsidR="00CD0BA4" w:rsidRPr="00883FC0">
        <w:rPr>
          <w:rFonts w:ascii="Arial" w:hAnsi="Arial" w:cs="Arial"/>
          <w:sz w:val="24"/>
          <w:szCs w:val="24"/>
          <w:lang w:val="en-GB"/>
        </w:rPr>
        <w:t xml:space="preserve"> T</w:t>
      </w:r>
      <w:r w:rsidRPr="00883FC0">
        <w:rPr>
          <w:rFonts w:ascii="Arial" w:hAnsi="Arial" w:cs="Arial"/>
          <w:sz w:val="24"/>
          <w:szCs w:val="24"/>
          <w:lang w:val="en-GB"/>
        </w:rPr>
        <w:t xml:space="preserve">he size of the </w:t>
      </w:r>
      <w:r w:rsidR="0033579C" w:rsidRPr="00883FC0">
        <w:rPr>
          <w:rFonts w:ascii="Arial" w:hAnsi="Arial" w:cs="Arial"/>
          <w:sz w:val="24"/>
          <w:szCs w:val="24"/>
          <w:lang w:val="en-GB"/>
        </w:rPr>
        <w:t xml:space="preserve">sheep </w:t>
      </w:r>
      <w:r w:rsidRPr="00883FC0">
        <w:rPr>
          <w:rFonts w:ascii="Arial" w:hAnsi="Arial" w:cs="Arial"/>
          <w:sz w:val="24"/>
          <w:szCs w:val="24"/>
          <w:lang w:val="en-GB"/>
        </w:rPr>
        <w:t xml:space="preserve">herds are 750 ewes followed by their lambs in La </w:t>
      </w:r>
      <w:proofErr w:type="spellStart"/>
      <w:r w:rsidRPr="00883FC0">
        <w:rPr>
          <w:rFonts w:ascii="Arial" w:hAnsi="Arial" w:cs="Arial"/>
          <w:sz w:val="24"/>
          <w:szCs w:val="24"/>
          <w:lang w:val="en-GB"/>
        </w:rPr>
        <w:t>Pesée</w:t>
      </w:r>
      <w:proofErr w:type="spellEnd"/>
      <w:r w:rsidRPr="00883FC0">
        <w:rPr>
          <w:rFonts w:ascii="Arial" w:hAnsi="Arial" w:cs="Arial"/>
          <w:sz w:val="24"/>
          <w:szCs w:val="24"/>
          <w:lang w:val="en-GB"/>
        </w:rPr>
        <w:t xml:space="preserve">, 900 ewes in Sept Laux, and 1600 ewes in </w:t>
      </w:r>
      <w:proofErr w:type="spellStart"/>
      <w:r w:rsidRPr="00883FC0">
        <w:rPr>
          <w:rFonts w:ascii="Arial" w:hAnsi="Arial" w:cs="Arial"/>
          <w:sz w:val="24"/>
          <w:szCs w:val="24"/>
          <w:lang w:val="en-GB"/>
        </w:rPr>
        <w:t>Ane</w:t>
      </w:r>
      <w:proofErr w:type="spellEnd"/>
      <w:r w:rsidRPr="00883FC0">
        <w:rPr>
          <w:rFonts w:ascii="Arial" w:hAnsi="Arial" w:cs="Arial"/>
          <w:sz w:val="24"/>
          <w:szCs w:val="24"/>
          <w:lang w:val="en-GB"/>
        </w:rPr>
        <w:t xml:space="preserve"> </w:t>
      </w:r>
      <w:proofErr w:type="spellStart"/>
      <w:r w:rsidRPr="00883FC0">
        <w:rPr>
          <w:rFonts w:ascii="Arial" w:hAnsi="Arial" w:cs="Arial"/>
          <w:sz w:val="24"/>
          <w:szCs w:val="24"/>
          <w:lang w:val="en-GB"/>
        </w:rPr>
        <w:t>Buyant</w:t>
      </w:r>
      <w:proofErr w:type="spellEnd"/>
      <w:r w:rsidRPr="00883FC0">
        <w:rPr>
          <w:rFonts w:ascii="Arial" w:hAnsi="Arial" w:cs="Arial"/>
          <w:sz w:val="24"/>
          <w:szCs w:val="24"/>
          <w:lang w:val="en-GB"/>
        </w:rPr>
        <w:t xml:space="preserve">. A dozen rams are also present within the La </w:t>
      </w:r>
      <w:proofErr w:type="spellStart"/>
      <w:r w:rsidRPr="00883FC0">
        <w:rPr>
          <w:rFonts w:ascii="Arial" w:hAnsi="Arial" w:cs="Arial"/>
          <w:sz w:val="24"/>
          <w:szCs w:val="24"/>
          <w:lang w:val="en-GB"/>
        </w:rPr>
        <w:t>Pesée</w:t>
      </w:r>
      <w:proofErr w:type="spellEnd"/>
      <w:r w:rsidRPr="00883FC0">
        <w:rPr>
          <w:rFonts w:ascii="Arial" w:hAnsi="Arial" w:cs="Arial"/>
          <w:sz w:val="24"/>
          <w:szCs w:val="24"/>
          <w:lang w:val="en-GB"/>
        </w:rPr>
        <w:t xml:space="preserve"> and Sept Laux herds, as well as some goats in La </w:t>
      </w:r>
      <w:proofErr w:type="spellStart"/>
      <w:r w:rsidRPr="00883FC0">
        <w:rPr>
          <w:rFonts w:ascii="Arial" w:hAnsi="Arial" w:cs="Arial"/>
          <w:sz w:val="24"/>
          <w:szCs w:val="24"/>
          <w:lang w:val="en-GB"/>
        </w:rPr>
        <w:t>Pesée</w:t>
      </w:r>
      <w:proofErr w:type="spellEnd"/>
      <w:r w:rsidRPr="00883FC0">
        <w:rPr>
          <w:rFonts w:ascii="Arial" w:hAnsi="Arial" w:cs="Arial"/>
          <w:sz w:val="24"/>
          <w:szCs w:val="24"/>
          <w:lang w:val="en-GB"/>
        </w:rPr>
        <w:t>.</w:t>
      </w:r>
    </w:p>
    <w:p w14:paraId="14999E95" w14:textId="05384A14" w:rsidR="0054110F" w:rsidRPr="00883FC0" w:rsidRDefault="00B3459F" w:rsidP="00A0712B">
      <w:pPr>
        <w:spacing w:after="0" w:line="360" w:lineRule="auto"/>
        <w:ind w:firstLine="708"/>
        <w:jc w:val="both"/>
        <w:rPr>
          <w:rFonts w:ascii="Arial" w:hAnsi="Arial" w:cs="Arial"/>
          <w:sz w:val="24"/>
          <w:szCs w:val="24"/>
          <w:lang w:val="en-GB"/>
        </w:rPr>
      </w:pPr>
      <w:r w:rsidRPr="00883FC0">
        <w:rPr>
          <w:rFonts w:ascii="Arial" w:hAnsi="Arial" w:cs="Arial"/>
          <w:sz w:val="24"/>
          <w:szCs w:val="24"/>
          <w:lang w:val="en-GB"/>
        </w:rPr>
        <w:t xml:space="preserve">The ibex population located in the Cerces mountain is estimated </w:t>
      </w:r>
      <w:r w:rsidR="0033579C" w:rsidRPr="00883FC0">
        <w:rPr>
          <w:rFonts w:ascii="Arial" w:hAnsi="Arial" w:cs="Arial"/>
          <w:sz w:val="24"/>
          <w:szCs w:val="24"/>
          <w:lang w:val="en-GB"/>
        </w:rPr>
        <w:t>at</w:t>
      </w:r>
      <w:r w:rsidRPr="00883FC0">
        <w:rPr>
          <w:rFonts w:ascii="Arial" w:hAnsi="Arial" w:cs="Arial"/>
          <w:sz w:val="24"/>
          <w:szCs w:val="24"/>
          <w:lang w:val="en-GB"/>
        </w:rPr>
        <w:t xml:space="preserve"> 320 individuals and occup</w:t>
      </w:r>
      <w:r w:rsidR="0033579C" w:rsidRPr="00883FC0">
        <w:rPr>
          <w:rFonts w:ascii="Arial" w:hAnsi="Arial" w:cs="Arial"/>
          <w:sz w:val="24"/>
          <w:szCs w:val="24"/>
          <w:lang w:val="en-GB"/>
        </w:rPr>
        <w:t>ies</w:t>
      </w:r>
      <w:r w:rsidRPr="00883FC0">
        <w:rPr>
          <w:rFonts w:ascii="Arial" w:hAnsi="Arial" w:cs="Arial"/>
          <w:sz w:val="24"/>
          <w:szCs w:val="24"/>
          <w:lang w:val="en-GB"/>
        </w:rPr>
        <w:t xml:space="preserve"> an area of 120</w:t>
      </w:r>
      <w:r w:rsidR="00CD0BA4" w:rsidRPr="00883FC0">
        <w:rPr>
          <w:rFonts w:ascii="Arial" w:hAnsi="Arial" w:cs="Arial"/>
          <w:sz w:val="24"/>
          <w:szCs w:val="24"/>
          <w:lang w:val="en-GB"/>
        </w:rPr>
        <w:t>k</w:t>
      </w:r>
      <w:r w:rsidRPr="00883FC0">
        <w:rPr>
          <w:rFonts w:ascii="Arial" w:hAnsi="Arial" w:cs="Arial"/>
          <w:sz w:val="24"/>
          <w:szCs w:val="24"/>
          <w:lang w:val="en-GB"/>
        </w:rPr>
        <w:t xml:space="preserve">m², between 1410m and 3100m. In Cerces, the </w:t>
      </w:r>
      <w:r w:rsidR="0033579C" w:rsidRPr="00883FC0">
        <w:rPr>
          <w:rFonts w:ascii="Arial" w:hAnsi="Arial" w:cs="Arial"/>
          <w:sz w:val="24"/>
          <w:szCs w:val="24"/>
          <w:lang w:val="en-GB"/>
        </w:rPr>
        <w:t xml:space="preserve">sheep </w:t>
      </w:r>
      <w:r w:rsidRPr="00883FC0">
        <w:rPr>
          <w:rFonts w:ascii="Arial" w:hAnsi="Arial" w:cs="Arial"/>
          <w:sz w:val="24"/>
          <w:szCs w:val="24"/>
          <w:lang w:val="en-GB"/>
        </w:rPr>
        <w:t>herd located in the West (Aiguillette du Lauzet) include</w:t>
      </w:r>
      <w:r w:rsidR="0033579C" w:rsidRPr="00883FC0">
        <w:rPr>
          <w:rFonts w:ascii="Arial" w:hAnsi="Arial" w:cs="Arial"/>
          <w:sz w:val="24"/>
          <w:szCs w:val="24"/>
          <w:lang w:val="en-GB"/>
        </w:rPr>
        <w:t>s</w:t>
      </w:r>
      <w:r w:rsidRPr="00883FC0">
        <w:rPr>
          <w:rFonts w:ascii="Arial" w:hAnsi="Arial" w:cs="Arial"/>
          <w:sz w:val="24"/>
          <w:szCs w:val="24"/>
          <w:lang w:val="en-GB"/>
        </w:rPr>
        <w:t xml:space="preserve"> 3 breeding farms for a total of 800 sheep and the herd located in the East (Montagne de l’Oule) include</w:t>
      </w:r>
      <w:r w:rsidR="0024743B" w:rsidRPr="00883FC0">
        <w:rPr>
          <w:rFonts w:ascii="Arial" w:hAnsi="Arial" w:cs="Arial"/>
          <w:sz w:val="24"/>
          <w:szCs w:val="24"/>
          <w:lang w:val="en-GB"/>
        </w:rPr>
        <w:t>s</w:t>
      </w:r>
      <w:r w:rsidRPr="00883FC0">
        <w:rPr>
          <w:rFonts w:ascii="Arial" w:hAnsi="Arial" w:cs="Arial"/>
          <w:sz w:val="24"/>
          <w:szCs w:val="24"/>
          <w:lang w:val="en-GB"/>
        </w:rPr>
        <w:t xml:space="preserve"> 4 breeding farms for a total of 940 sheep (</w:t>
      </w:r>
      <w:r w:rsidR="0033579C" w:rsidRPr="00883FC0">
        <w:rPr>
          <w:rFonts w:ascii="Arial" w:hAnsi="Arial" w:cs="Arial"/>
          <w:sz w:val="24"/>
          <w:szCs w:val="24"/>
          <w:lang w:val="en-GB"/>
        </w:rPr>
        <w:t>T</w:t>
      </w:r>
      <w:r w:rsidRPr="00883FC0">
        <w:rPr>
          <w:rFonts w:ascii="Arial" w:hAnsi="Arial" w:cs="Arial"/>
          <w:sz w:val="24"/>
          <w:szCs w:val="24"/>
          <w:lang w:val="en-GB"/>
        </w:rPr>
        <w:t>able 1).</w:t>
      </w:r>
    </w:p>
    <w:p w14:paraId="022B0A12" w14:textId="11C40ADB" w:rsidR="00685709" w:rsidRPr="00883FC0" w:rsidRDefault="00B3459F" w:rsidP="00A0712B">
      <w:pPr>
        <w:spacing w:after="0" w:line="360" w:lineRule="auto"/>
        <w:ind w:firstLine="708"/>
        <w:jc w:val="both"/>
        <w:rPr>
          <w:rFonts w:ascii="Arial" w:hAnsi="Arial" w:cs="Arial"/>
          <w:sz w:val="24"/>
          <w:szCs w:val="24"/>
          <w:lang w:val="en-GB"/>
        </w:rPr>
      </w:pPr>
      <w:r w:rsidRPr="00883FC0">
        <w:rPr>
          <w:rFonts w:ascii="Arial" w:hAnsi="Arial" w:cs="Arial"/>
          <w:sz w:val="24"/>
          <w:szCs w:val="24"/>
          <w:lang w:val="en-GB"/>
        </w:rPr>
        <w:t xml:space="preserve">In the </w:t>
      </w:r>
      <w:r w:rsidR="00685709" w:rsidRPr="00883FC0">
        <w:rPr>
          <w:rFonts w:ascii="Arial" w:hAnsi="Arial" w:cs="Arial"/>
          <w:sz w:val="24"/>
          <w:szCs w:val="24"/>
          <w:lang w:val="en-GB"/>
        </w:rPr>
        <w:t xml:space="preserve">Champsaur </w:t>
      </w:r>
      <w:r w:rsidRPr="00883FC0">
        <w:rPr>
          <w:rFonts w:ascii="Arial" w:hAnsi="Arial" w:cs="Arial"/>
          <w:sz w:val="24"/>
          <w:szCs w:val="24"/>
          <w:lang w:val="en-GB"/>
        </w:rPr>
        <w:t xml:space="preserve">mountain, the distribution of ibex range between </w:t>
      </w:r>
      <w:r w:rsidR="00685709" w:rsidRPr="00883FC0">
        <w:rPr>
          <w:rFonts w:ascii="Arial" w:hAnsi="Arial" w:cs="Arial"/>
          <w:sz w:val="24"/>
          <w:szCs w:val="24"/>
          <w:lang w:val="en-GB"/>
        </w:rPr>
        <w:t>1320m and 3550m o</w:t>
      </w:r>
      <w:r w:rsidR="0024743B" w:rsidRPr="00883FC0">
        <w:rPr>
          <w:rFonts w:ascii="Arial" w:hAnsi="Arial" w:cs="Arial"/>
          <w:sz w:val="24"/>
          <w:szCs w:val="24"/>
          <w:lang w:val="en-GB"/>
        </w:rPr>
        <w:t>ver</w:t>
      </w:r>
      <w:r w:rsidR="00685709" w:rsidRPr="00883FC0">
        <w:rPr>
          <w:rFonts w:ascii="Arial" w:hAnsi="Arial" w:cs="Arial"/>
          <w:sz w:val="24"/>
          <w:szCs w:val="24"/>
          <w:lang w:val="en-GB"/>
        </w:rPr>
        <w:t xml:space="preserve"> 280km². </w:t>
      </w:r>
      <w:r w:rsidR="00CD0BA4" w:rsidRPr="00883FC0">
        <w:rPr>
          <w:rFonts w:ascii="Arial" w:hAnsi="Arial" w:cs="Arial"/>
          <w:sz w:val="24"/>
          <w:szCs w:val="24"/>
          <w:lang w:val="en-GB"/>
        </w:rPr>
        <w:t>P</w:t>
      </w:r>
      <w:r w:rsidR="00685709" w:rsidRPr="00883FC0">
        <w:rPr>
          <w:rFonts w:ascii="Arial" w:hAnsi="Arial" w:cs="Arial"/>
          <w:sz w:val="24"/>
          <w:szCs w:val="24"/>
          <w:lang w:val="en-GB"/>
        </w:rPr>
        <w:t xml:space="preserve">opulation size </w:t>
      </w:r>
      <w:r w:rsidRPr="00883FC0">
        <w:rPr>
          <w:rFonts w:ascii="Arial" w:hAnsi="Arial" w:cs="Arial"/>
          <w:sz w:val="24"/>
          <w:szCs w:val="24"/>
          <w:lang w:val="en-GB"/>
        </w:rPr>
        <w:t>is</w:t>
      </w:r>
      <w:r w:rsidR="00685709" w:rsidRPr="00883FC0">
        <w:rPr>
          <w:rFonts w:ascii="Arial" w:hAnsi="Arial" w:cs="Arial"/>
          <w:sz w:val="24"/>
          <w:szCs w:val="24"/>
          <w:lang w:val="en-GB"/>
        </w:rPr>
        <w:t xml:space="preserve"> estimated </w:t>
      </w:r>
      <w:r w:rsidR="0024743B" w:rsidRPr="00883FC0">
        <w:rPr>
          <w:rFonts w:ascii="Arial" w:hAnsi="Arial" w:cs="Arial"/>
          <w:sz w:val="24"/>
          <w:szCs w:val="24"/>
          <w:lang w:val="en-GB"/>
        </w:rPr>
        <w:t>at</w:t>
      </w:r>
      <w:r w:rsidR="00685709" w:rsidRPr="00883FC0">
        <w:rPr>
          <w:rFonts w:ascii="Arial" w:hAnsi="Arial" w:cs="Arial"/>
          <w:sz w:val="24"/>
          <w:szCs w:val="24"/>
          <w:lang w:val="en-GB"/>
        </w:rPr>
        <w:t xml:space="preserve"> 420 individuals</w:t>
      </w:r>
      <w:r w:rsidRPr="00883FC0">
        <w:rPr>
          <w:rFonts w:ascii="Arial" w:hAnsi="Arial" w:cs="Arial"/>
          <w:sz w:val="24"/>
          <w:szCs w:val="24"/>
          <w:lang w:val="en-GB"/>
        </w:rPr>
        <w:t xml:space="preserve">. </w:t>
      </w:r>
      <w:r w:rsidR="00685709" w:rsidRPr="00883FC0">
        <w:rPr>
          <w:rFonts w:ascii="Arial" w:hAnsi="Arial" w:cs="Arial"/>
          <w:sz w:val="24"/>
          <w:szCs w:val="24"/>
          <w:lang w:val="en-GB"/>
        </w:rPr>
        <w:t xml:space="preserve">In Champsaur, the </w:t>
      </w:r>
      <w:r w:rsidR="0024743B" w:rsidRPr="00883FC0">
        <w:rPr>
          <w:rFonts w:ascii="Arial" w:hAnsi="Arial" w:cs="Arial"/>
          <w:sz w:val="24"/>
          <w:szCs w:val="24"/>
          <w:lang w:val="en-GB"/>
        </w:rPr>
        <w:t xml:space="preserve">sheep </w:t>
      </w:r>
      <w:r w:rsidR="00685709" w:rsidRPr="00883FC0">
        <w:rPr>
          <w:rFonts w:ascii="Arial" w:hAnsi="Arial" w:cs="Arial"/>
          <w:sz w:val="24"/>
          <w:szCs w:val="24"/>
          <w:lang w:val="en-GB"/>
        </w:rPr>
        <w:t>herd include</w:t>
      </w:r>
      <w:r w:rsidR="0024743B" w:rsidRPr="00883FC0">
        <w:rPr>
          <w:rFonts w:ascii="Arial" w:hAnsi="Arial" w:cs="Arial"/>
          <w:sz w:val="24"/>
          <w:szCs w:val="24"/>
          <w:lang w:val="en-GB"/>
        </w:rPr>
        <w:t>s</w:t>
      </w:r>
      <w:r w:rsidR="00685709" w:rsidRPr="00883FC0">
        <w:rPr>
          <w:rFonts w:ascii="Arial" w:hAnsi="Arial" w:cs="Arial"/>
          <w:sz w:val="24"/>
          <w:szCs w:val="24"/>
          <w:lang w:val="en-GB"/>
        </w:rPr>
        <w:t xml:space="preserve"> 4 breeding farms for a total of 1070 sheep and 5 goats</w:t>
      </w:r>
      <w:r w:rsidRPr="00883FC0">
        <w:rPr>
          <w:rFonts w:ascii="Arial" w:hAnsi="Arial" w:cs="Arial"/>
          <w:sz w:val="24"/>
          <w:szCs w:val="24"/>
          <w:lang w:val="en-GB"/>
        </w:rPr>
        <w:t xml:space="preserve"> (</w:t>
      </w:r>
      <w:r w:rsidR="0033579C" w:rsidRPr="00883FC0">
        <w:rPr>
          <w:rFonts w:ascii="Arial" w:hAnsi="Arial" w:cs="Arial"/>
          <w:sz w:val="24"/>
          <w:szCs w:val="24"/>
          <w:lang w:val="en-GB"/>
        </w:rPr>
        <w:t>T</w:t>
      </w:r>
      <w:r w:rsidRPr="00883FC0">
        <w:rPr>
          <w:rFonts w:ascii="Arial" w:hAnsi="Arial" w:cs="Arial"/>
          <w:sz w:val="24"/>
          <w:szCs w:val="24"/>
          <w:lang w:val="en-GB"/>
        </w:rPr>
        <w:t>able 1)</w:t>
      </w:r>
      <w:r w:rsidR="00685709" w:rsidRPr="00883FC0">
        <w:rPr>
          <w:rFonts w:ascii="Arial" w:hAnsi="Arial" w:cs="Arial"/>
          <w:sz w:val="24"/>
          <w:szCs w:val="24"/>
          <w:lang w:val="en-GB"/>
        </w:rPr>
        <w:t xml:space="preserve">. </w:t>
      </w:r>
    </w:p>
    <w:p w14:paraId="0F1A40FE" w14:textId="27627E1D" w:rsidR="0033579C" w:rsidRPr="00883FC0" w:rsidRDefault="0033579C" w:rsidP="0033579C">
      <w:pPr>
        <w:spacing w:after="0" w:line="360" w:lineRule="auto"/>
        <w:ind w:firstLine="708"/>
        <w:jc w:val="both"/>
        <w:rPr>
          <w:rFonts w:ascii="Arial" w:hAnsi="Arial" w:cs="Arial"/>
          <w:sz w:val="24"/>
          <w:szCs w:val="24"/>
          <w:lang w:val="en-GB"/>
        </w:rPr>
      </w:pPr>
      <w:r w:rsidRPr="00883FC0">
        <w:rPr>
          <w:rFonts w:ascii="Arial" w:hAnsi="Arial" w:cs="Arial"/>
          <w:sz w:val="24"/>
          <w:szCs w:val="24"/>
          <w:lang w:val="en-GB"/>
        </w:rPr>
        <w:t>Each sheep herd belongs to one farmer while several farmers grouped their sheep herds in Cerces and Champsaur (Table 1).</w:t>
      </w:r>
    </w:p>
    <w:p w14:paraId="33B41A60" w14:textId="77777777" w:rsidR="00E70626" w:rsidRPr="00883FC0" w:rsidRDefault="00E70626" w:rsidP="00A0712B">
      <w:pPr>
        <w:spacing w:after="0" w:line="360" w:lineRule="auto"/>
        <w:jc w:val="both"/>
        <w:rPr>
          <w:rFonts w:ascii="Arial" w:hAnsi="Arial" w:cs="Arial"/>
          <w:sz w:val="24"/>
          <w:szCs w:val="24"/>
          <w:lang w:val="en-GB"/>
        </w:rPr>
      </w:pPr>
    </w:p>
    <w:p w14:paraId="3742DB2F" w14:textId="33BEFF12" w:rsidR="00205147" w:rsidRPr="00883FC0" w:rsidRDefault="00205147" w:rsidP="00A0712B">
      <w:pPr>
        <w:pStyle w:val="Lgende"/>
        <w:keepNext/>
        <w:spacing w:after="0" w:line="360" w:lineRule="auto"/>
        <w:jc w:val="both"/>
        <w:rPr>
          <w:rFonts w:ascii="Arial" w:hAnsi="Arial" w:cs="Arial"/>
          <w:color w:val="auto"/>
          <w:sz w:val="24"/>
          <w:szCs w:val="24"/>
          <w:lang w:val="en-US"/>
        </w:rPr>
      </w:pPr>
      <w:r w:rsidRPr="00883FC0">
        <w:rPr>
          <w:rFonts w:ascii="Arial" w:hAnsi="Arial" w:cs="Arial"/>
          <w:color w:val="auto"/>
          <w:sz w:val="24"/>
          <w:szCs w:val="24"/>
          <w:u w:val="single"/>
          <w:lang w:val="en-US"/>
        </w:rPr>
        <w:t xml:space="preserve">Table </w:t>
      </w:r>
      <w:r w:rsidRPr="00883FC0">
        <w:rPr>
          <w:rFonts w:ascii="Arial" w:hAnsi="Arial" w:cs="Arial"/>
          <w:color w:val="auto"/>
          <w:sz w:val="24"/>
          <w:szCs w:val="24"/>
          <w:u w:val="single"/>
        </w:rPr>
        <w:fldChar w:fldCharType="begin"/>
      </w:r>
      <w:r w:rsidRPr="00883FC0">
        <w:rPr>
          <w:rFonts w:ascii="Arial" w:hAnsi="Arial" w:cs="Arial"/>
          <w:color w:val="auto"/>
          <w:sz w:val="24"/>
          <w:szCs w:val="24"/>
          <w:u w:val="single"/>
          <w:lang w:val="en-US"/>
        </w:rPr>
        <w:instrText xml:space="preserve"> SEQ Tableau \* ARABIC </w:instrText>
      </w:r>
      <w:r w:rsidRPr="00883FC0">
        <w:rPr>
          <w:rFonts w:ascii="Arial" w:hAnsi="Arial" w:cs="Arial"/>
          <w:color w:val="auto"/>
          <w:sz w:val="24"/>
          <w:szCs w:val="24"/>
          <w:u w:val="single"/>
        </w:rPr>
        <w:fldChar w:fldCharType="separate"/>
      </w:r>
      <w:r w:rsidR="00870D7F">
        <w:rPr>
          <w:rFonts w:ascii="Arial" w:hAnsi="Arial" w:cs="Arial"/>
          <w:noProof/>
          <w:color w:val="auto"/>
          <w:sz w:val="24"/>
          <w:szCs w:val="24"/>
          <w:u w:val="single"/>
          <w:lang w:val="en-US"/>
        </w:rPr>
        <w:t>1</w:t>
      </w:r>
      <w:r w:rsidRPr="00883FC0">
        <w:rPr>
          <w:rFonts w:ascii="Arial" w:hAnsi="Arial" w:cs="Arial"/>
          <w:color w:val="auto"/>
          <w:sz w:val="24"/>
          <w:szCs w:val="24"/>
          <w:u w:val="single"/>
        </w:rPr>
        <w:fldChar w:fldCharType="end"/>
      </w:r>
      <w:r w:rsidRPr="00883FC0">
        <w:rPr>
          <w:rFonts w:ascii="Arial" w:hAnsi="Arial" w:cs="Arial"/>
          <w:color w:val="auto"/>
          <w:sz w:val="24"/>
          <w:szCs w:val="24"/>
          <w:u w:val="single"/>
          <w:lang w:val="en-US"/>
        </w:rPr>
        <w:t xml:space="preserve"> : </w:t>
      </w:r>
      <w:r w:rsidRPr="00883FC0">
        <w:rPr>
          <w:rFonts w:ascii="Arial" w:hAnsi="Arial" w:cs="Arial"/>
          <w:b w:val="0"/>
          <w:color w:val="auto"/>
          <w:sz w:val="24"/>
          <w:szCs w:val="24"/>
          <w:u w:val="single"/>
          <w:lang w:val="en-US"/>
        </w:rPr>
        <w:t xml:space="preserve">Descriptive data on </w:t>
      </w:r>
      <w:r w:rsidR="003B2298">
        <w:rPr>
          <w:rFonts w:ascii="Arial" w:hAnsi="Arial" w:cs="Arial"/>
          <w:b w:val="0"/>
          <w:color w:val="auto"/>
          <w:sz w:val="24"/>
          <w:szCs w:val="24"/>
          <w:u w:val="single"/>
          <w:lang w:val="en-US"/>
        </w:rPr>
        <w:t xml:space="preserve">the </w:t>
      </w:r>
      <w:r w:rsidR="003B2298" w:rsidRPr="003B2298">
        <w:rPr>
          <w:rFonts w:ascii="Arial" w:hAnsi="Arial" w:cs="Arial"/>
          <w:b w:val="0"/>
          <w:color w:val="auto"/>
          <w:sz w:val="24"/>
          <w:szCs w:val="24"/>
          <w:highlight w:val="yellow"/>
          <w:u w:val="single"/>
          <w:lang w:val="en-US"/>
        </w:rPr>
        <w:t>three mountain areas in the French Alps.</w:t>
      </w:r>
    </w:p>
    <w:tbl>
      <w:tblPr>
        <w:tblStyle w:val="Tableausimple3"/>
        <w:tblW w:w="5000" w:type="pct"/>
        <w:tblCellMar>
          <w:left w:w="57" w:type="dxa"/>
          <w:right w:w="57" w:type="dxa"/>
        </w:tblCellMar>
        <w:tblLook w:val="04A0" w:firstRow="1" w:lastRow="0" w:firstColumn="1" w:lastColumn="0" w:noHBand="0" w:noVBand="1"/>
      </w:tblPr>
      <w:tblGrid>
        <w:gridCol w:w="1267"/>
        <w:gridCol w:w="1267"/>
        <w:gridCol w:w="1267"/>
        <w:gridCol w:w="1267"/>
        <w:gridCol w:w="1266"/>
        <w:gridCol w:w="1268"/>
        <w:gridCol w:w="1470"/>
      </w:tblGrid>
      <w:tr w:rsidR="00632910" w:rsidRPr="00883FC0" w14:paraId="09B2C51C" w14:textId="49053F13" w:rsidTr="002474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8" w:type="pct"/>
            <w:tcBorders>
              <w:top w:val="single" w:sz="4" w:space="0" w:color="auto"/>
              <w:bottom w:val="single" w:sz="4" w:space="0" w:color="auto"/>
            </w:tcBorders>
          </w:tcPr>
          <w:p w14:paraId="2F7314AF" w14:textId="77777777" w:rsidR="00632910" w:rsidRPr="00883FC0" w:rsidRDefault="00632910" w:rsidP="00A0712B">
            <w:pPr>
              <w:spacing w:line="360" w:lineRule="auto"/>
              <w:rPr>
                <w:rFonts w:ascii="Arial" w:hAnsi="Arial" w:cs="Arial"/>
                <w:b w:val="0"/>
                <w:lang w:val="en-US"/>
              </w:rPr>
            </w:pPr>
          </w:p>
        </w:tc>
        <w:tc>
          <w:tcPr>
            <w:tcW w:w="698" w:type="pct"/>
            <w:tcBorders>
              <w:top w:val="single" w:sz="4" w:space="0" w:color="auto"/>
              <w:bottom w:val="single" w:sz="4" w:space="0" w:color="auto"/>
            </w:tcBorders>
          </w:tcPr>
          <w:p w14:paraId="6CED558A" w14:textId="3A7552A0" w:rsidR="00632910" w:rsidRPr="00883FC0" w:rsidRDefault="00632910" w:rsidP="00A071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883FC0">
              <w:rPr>
                <w:rFonts w:ascii="Arial" w:hAnsi="Arial" w:cs="Arial"/>
                <w:b w:val="0"/>
                <w:lang w:val="en-US"/>
              </w:rPr>
              <w:t>A</w:t>
            </w:r>
            <w:r w:rsidRPr="00883FC0">
              <w:rPr>
                <w:rFonts w:ascii="Arial" w:hAnsi="Arial" w:cs="Arial"/>
                <w:b w:val="0"/>
                <w:caps w:val="0"/>
                <w:lang w:val="en-US"/>
              </w:rPr>
              <w:t>rea (km²)</w:t>
            </w:r>
          </w:p>
        </w:tc>
        <w:tc>
          <w:tcPr>
            <w:tcW w:w="698" w:type="pct"/>
            <w:tcBorders>
              <w:top w:val="single" w:sz="4" w:space="0" w:color="auto"/>
              <w:bottom w:val="single" w:sz="4" w:space="0" w:color="auto"/>
            </w:tcBorders>
          </w:tcPr>
          <w:p w14:paraId="67F77269" w14:textId="5100AED9" w:rsidR="00632910" w:rsidRPr="00883FC0" w:rsidRDefault="00632910" w:rsidP="00A071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883FC0">
              <w:rPr>
                <w:rFonts w:ascii="Arial" w:hAnsi="Arial" w:cs="Arial"/>
                <w:b w:val="0"/>
                <w:lang w:val="en-US"/>
              </w:rPr>
              <w:t>A</w:t>
            </w:r>
            <w:r w:rsidRPr="00883FC0">
              <w:rPr>
                <w:rFonts w:ascii="Arial" w:hAnsi="Arial" w:cs="Arial"/>
                <w:b w:val="0"/>
                <w:caps w:val="0"/>
                <w:lang w:val="en-US"/>
              </w:rPr>
              <w:t>ltitude (m)</w:t>
            </w:r>
          </w:p>
        </w:tc>
        <w:tc>
          <w:tcPr>
            <w:tcW w:w="698" w:type="pct"/>
            <w:tcBorders>
              <w:top w:val="single" w:sz="4" w:space="0" w:color="auto"/>
              <w:bottom w:val="single" w:sz="4" w:space="0" w:color="auto"/>
            </w:tcBorders>
          </w:tcPr>
          <w:p w14:paraId="27A17698" w14:textId="0A5A70B9" w:rsidR="00632910" w:rsidRPr="00883FC0" w:rsidRDefault="00632910" w:rsidP="00A071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883FC0">
              <w:rPr>
                <w:rFonts w:ascii="Arial" w:hAnsi="Arial" w:cs="Arial"/>
                <w:b w:val="0"/>
                <w:lang w:val="en-US"/>
              </w:rPr>
              <w:t>n</w:t>
            </w:r>
            <w:r w:rsidRPr="00883FC0">
              <w:rPr>
                <w:rFonts w:ascii="Arial" w:hAnsi="Arial" w:cs="Arial"/>
                <w:b w:val="0"/>
                <w:caps w:val="0"/>
                <w:lang w:val="en-US"/>
              </w:rPr>
              <w:t>umber</w:t>
            </w:r>
            <w:r w:rsidRPr="00883FC0">
              <w:rPr>
                <w:rFonts w:ascii="Arial" w:hAnsi="Arial" w:cs="Arial"/>
                <w:b w:val="0"/>
                <w:lang w:val="en-US"/>
              </w:rPr>
              <w:t xml:space="preserve"> </w:t>
            </w:r>
            <w:r w:rsidRPr="00883FC0">
              <w:rPr>
                <w:rFonts w:ascii="Arial" w:hAnsi="Arial" w:cs="Arial"/>
                <w:b w:val="0"/>
                <w:caps w:val="0"/>
                <w:lang w:val="en-US"/>
              </w:rPr>
              <w:t>of introduced ibex</w:t>
            </w:r>
          </w:p>
        </w:tc>
        <w:tc>
          <w:tcPr>
            <w:tcW w:w="698" w:type="pct"/>
            <w:tcBorders>
              <w:top w:val="single" w:sz="4" w:space="0" w:color="auto"/>
              <w:bottom w:val="single" w:sz="4" w:space="0" w:color="auto"/>
            </w:tcBorders>
          </w:tcPr>
          <w:p w14:paraId="1AED19E9" w14:textId="4B40AFB6" w:rsidR="00632910" w:rsidRPr="00883FC0" w:rsidRDefault="00632910" w:rsidP="00A071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883FC0">
              <w:rPr>
                <w:rFonts w:ascii="Arial" w:hAnsi="Arial" w:cs="Arial"/>
                <w:b w:val="0"/>
                <w:lang w:val="en-US"/>
              </w:rPr>
              <w:t>I</w:t>
            </w:r>
            <w:r w:rsidRPr="00883FC0">
              <w:rPr>
                <w:rFonts w:ascii="Arial" w:hAnsi="Arial" w:cs="Arial"/>
                <w:b w:val="0"/>
                <w:caps w:val="0"/>
                <w:lang w:val="en-US"/>
              </w:rPr>
              <w:t>bex</w:t>
            </w:r>
            <w:r w:rsidRPr="00883FC0">
              <w:rPr>
                <w:rFonts w:ascii="Arial" w:hAnsi="Arial" w:cs="Arial"/>
                <w:b w:val="0"/>
                <w:lang w:val="en-US"/>
              </w:rPr>
              <w:t xml:space="preserve"> p</w:t>
            </w:r>
            <w:r w:rsidRPr="00883FC0">
              <w:rPr>
                <w:rFonts w:ascii="Arial" w:hAnsi="Arial" w:cs="Arial"/>
                <w:b w:val="0"/>
                <w:caps w:val="0"/>
                <w:lang w:val="en-US"/>
              </w:rPr>
              <w:t>opulation size</w:t>
            </w:r>
          </w:p>
        </w:tc>
        <w:tc>
          <w:tcPr>
            <w:tcW w:w="699" w:type="pct"/>
            <w:tcBorders>
              <w:top w:val="single" w:sz="4" w:space="0" w:color="auto"/>
              <w:bottom w:val="single" w:sz="4" w:space="0" w:color="auto"/>
            </w:tcBorders>
          </w:tcPr>
          <w:p w14:paraId="1507CB7A" w14:textId="163EC458" w:rsidR="00632910" w:rsidRPr="00883FC0" w:rsidRDefault="00632910" w:rsidP="00A071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883FC0">
              <w:rPr>
                <w:rFonts w:ascii="Arial" w:hAnsi="Arial" w:cs="Arial"/>
                <w:b w:val="0"/>
                <w:lang w:val="en-US"/>
              </w:rPr>
              <w:t>D</w:t>
            </w:r>
            <w:r w:rsidRPr="00883FC0">
              <w:rPr>
                <w:rFonts w:ascii="Arial" w:hAnsi="Arial" w:cs="Arial"/>
                <w:b w:val="0"/>
                <w:caps w:val="0"/>
                <w:lang w:val="en-US"/>
              </w:rPr>
              <w:t>omestic</w:t>
            </w:r>
            <w:r w:rsidRPr="00883FC0">
              <w:rPr>
                <w:rFonts w:ascii="Arial" w:hAnsi="Arial" w:cs="Arial"/>
                <w:b w:val="0"/>
                <w:lang w:val="en-US"/>
              </w:rPr>
              <w:t xml:space="preserve"> </w:t>
            </w:r>
            <w:r w:rsidRPr="00883FC0">
              <w:rPr>
                <w:rFonts w:ascii="Arial" w:hAnsi="Arial" w:cs="Arial"/>
                <w:b w:val="0"/>
                <w:caps w:val="0"/>
                <w:lang w:val="en-US"/>
              </w:rPr>
              <w:t>flock size</w:t>
            </w:r>
          </w:p>
        </w:tc>
        <w:tc>
          <w:tcPr>
            <w:tcW w:w="810" w:type="pct"/>
            <w:tcBorders>
              <w:top w:val="single" w:sz="4" w:space="0" w:color="auto"/>
              <w:bottom w:val="single" w:sz="4" w:space="0" w:color="auto"/>
            </w:tcBorders>
          </w:tcPr>
          <w:p w14:paraId="6951A360" w14:textId="1BC3CBE6" w:rsidR="00632910" w:rsidRPr="00883FC0" w:rsidRDefault="00632910" w:rsidP="00A071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883FC0">
              <w:rPr>
                <w:rFonts w:ascii="Arial" w:hAnsi="Arial" w:cs="Arial"/>
                <w:b w:val="0"/>
                <w:lang w:val="en-US"/>
              </w:rPr>
              <w:t>C</w:t>
            </w:r>
            <w:r w:rsidRPr="00883FC0">
              <w:rPr>
                <w:rFonts w:ascii="Arial" w:hAnsi="Arial" w:cs="Arial"/>
                <w:b w:val="0"/>
                <w:caps w:val="0"/>
                <w:lang w:val="en-US"/>
              </w:rPr>
              <w:t>limate</w:t>
            </w:r>
          </w:p>
        </w:tc>
      </w:tr>
      <w:tr w:rsidR="00632910" w:rsidRPr="00883FC0" w14:paraId="619BA87C" w14:textId="7BF59428" w:rsidTr="00247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Borders>
              <w:top w:val="single" w:sz="4" w:space="0" w:color="auto"/>
              <w:right w:val="none" w:sz="0" w:space="0" w:color="auto"/>
            </w:tcBorders>
          </w:tcPr>
          <w:p w14:paraId="4D2C57A9" w14:textId="1AA3E9E8" w:rsidR="00632910" w:rsidRPr="00883FC0" w:rsidRDefault="00632910" w:rsidP="00A0712B">
            <w:pPr>
              <w:spacing w:line="360" w:lineRule="auto"/>
              <w:rPr>
                <w:rFonts w:ascii="Arial" w:hAnsi="Arial" w:cs="Arial"/>
                <w:b w:val="0"/>
                <w:lang w:val="en-US"/>
              </w:rPr>
            </w:pPr>
            <w:r w:rsidRPr="00883FC0">
              <w:rPr>
                <w:rFonts w:ascii="Arial" w:hAnsi="Arial" w:cs="Arial"/>
                <w:b w:val="0"/>
                <w:iCs/>
                <w:caps w:val="0"/>
                <w:color w:val="000000"/>
                <w:lang w:val="en-US"/>
              </w:rPr>
              <w:t>Belledonne mountain</w:t>
            </w:r>
          </w:p>
        </w:tc>
        <w:tc>
          <w:tcPr>
            <w:tcW w:w="698" w:type="pct"/>
            <w:tcBorders>
              <w:top w:val="single" w:sz="4" w:space="0" w:color="auto"/>
              <w:left w:val="nil"/>
            </w:tcBorders>
          </w:tcPr>
          <w:p w14:paraId="392BD127" w14:textId="3FF6818A"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200</w:t>
            </w:r>
          </w:p>
        </w:tc>
        <w:tc>
          <w:tcPr>
            <w:tcW w:w="698" w:type="pct"/>
            <w:tcBorders>
              <w:top w:val="single" w:sz="4" w:space="0" w:color="auto"/>
            </w:tcBorders>
          </w:tcPr>
          <w:p w14:paraId="61038814" w14:textId="210C863E"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630-2860</w:t>
            </w:r>
          </w:p>
        </w:tc>
        <w:tc>
          <w:tcPr>
            <w:tcW w:w="698" w:type="pct"/>
            <w:tcBorders>
              <w:top w:val="single" w:sz="4" w:space="0" w:color="auto"/>
            </w:tcBorders>
          </w:tcPr>
          <w:p w14:paraId="1B93C217" w14:textId="6D22DF68"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20</w:t>
            </w:r>
          </w:p>
        </w:tc>
        <w:tc>
          <w:tcPr>
            <w:tcW w:w="698" w:type="pct"/>
            <w:tcBorders>
              <w:top w:val="single" w:sz="4" w:space="0" w:color="auto"/>
            </w:tcBorders>
          </w:tcPr>
          <w:p w14:paraId="5F8848F8" w14:textId="13458D10"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800</w:t>
            </w:r>
          </w:p>
        </w:tc>
        <w:tc>
          <w:tcPr>
            <w:tcW w:w="699" w:type="pct"/>
            <w:tcBorders>
              <w:top w:val="single" w:sz="4" w:space="0" w:color="auto"/>
            </w:tcBorders>
          </w:tcPr>
          <w:p w14:paraId="05C3EBD8" w14:textId="46B8A557"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AB: 1600</w:t>
            </w:r>
          </w:p>
          <w:p w14:paraId="483B72F8" w14:textId="5865500A"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LP: 750</w:t>
            </w:r>
          </w:p>
          <w:p w14:paraId="0A644CE8" w14:textId="190480B2"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iCs/>
                <w:color w:val="000000"/>
                <w:lang w:val="en-US"/>
              </w:rPr>
              <w:t>SL: 900</w:t>
            </w:r>
          </w:p>
        </w:tc>
        <w:tc>
          <w:tcPr>
            <w:tcW w:w="810" w:type="pct"/>
            <w:tcBorders>
              <w:top w:val="single" w:sz="4" w:space="0" w:color="auto"/>
            </w:tcBorders>
          </w:tcPr>
          <w:p w14:paraId="1741AD28" w14:textId="557558C1"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Mountain climate</w:t>
            </w:r>
          </w:p>
        </w:tc>
      </w:tr>
      <w:tr w:rsidR="00632910" w:rsidRPr="00883FC0" w14:paraId="6ED4E038" w14:textId="4D9C9D4A" w:rsidTr="0024743B">
        <w:tc>
          <w:tcPr>
            <w:cnfStyle w:val="001000000000" w:firstRow="0" w:lastRow="0" w:firstColumn="1" w:lastColumn="0" w:oddVBand="0" w:evenVBand="0" w:oddHBand="0" w:evenHBand="0" w:firstRowFirstColumn="0" w:firstRowLastColumn="0" w:lastRowFirstColumn="0" w:lastRowLastColumn="0"/>
            <w:tcW w:w="698" w:type="pct"/>
            <w:tcBorders>
              <w:right w:val="none" w:sz="0" w:space="0" w:color="auto"/>
            </w:tcBorders>
          </w:tcPr>
          <w:p w14:paraId="2A406EEF" w14:textId="76005D8D" w:rsidR="00632910" w:rsidRPr="00883FC0" w:rsidRDefault="00632910" w:rsidP="00A0712B">
            <w:pPr>
              <w:spacing w:line="360" w:lineRule="auto"/>
              <w:rPr>
                <w:rFonts w:ascii="Arial" w:hAnsi="Arial" w:cs="Arial"/>
                <w:b w:val="0"/>
                <w:lang w:val="en-US"/>
              </w:rPr>
            </w:pPr>
            <w:r w:rsidRPr="00883FC0">
              <w:rPr>
                <w:rFonts w:ascii="Arial" w:hAnsi="Arial" w:cs="Arial"/>
                <w:b w:val="0"/>
                <w:iCs/>
                <w:caps w:val="0"/>
                <w:color w:val="000000"/>
                <w:lang w:val="en-US"/>
              </w:rPr>
              <w:t>Cerces mountain</w:t>
            </w:r>
          </w:p>
        </w:tc>
        <w:tc>
          <w:tcPr>
            <w:tcW w:w="698" w:type="pct"/>
            <w:tcBorders>
              <w:left w:val="nil"/>
            </w:tcBorders>
          </w:tcPr>
          <w:p w14:paraId="04EC7D4D" w14:textId="663C9D36"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83FC0">
              <w:rPr>
                <w:rFonts w:ascii="Arial" w:hAnsi="Arial" w:cs="Arial"/>
                <w:lang w:val="en-US"/>
              </w:rPr>
              <w:t>120</w:t>
            </w:r>
          </w:p>
        </w:tc>
        <w:tc>
          <w:tcPr>
            <w:tcW w:w="698" w:type="pct"/>
          </w:tcPr>
          <w:p w14:paraId="7F8FA878" w14:textId="14ECC095"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83FC0">
              <w:rPr>
                <w:rFonts w:ascii="Arial" w:hAnsi="Arial" w:cs="Arial"/>
                <w:lang w:val="en-US"/>
              </w:rPr>
              <w:t>1410-3100</w:t>
            </w:r>
          </w:p>
        </w:tc>
        <w:tc>
          <w:tcPr>
            <w:tcW w:w="698" w:type="pct"/>
          </w:tcPr>
          <w:p w14:paraId="542F58BC" w14:textId="6DE17B03"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83FC0">
              <w:rPr>
                <w:rFonts w:ascii="Arial" w:hAnsi="Arial" w:cs="Arial"/>
                <w:lang w:val="en-US"/>
              </w:rPr>
              <w:t>6</w:t>
            </w:r>
          </w:p>
        </w:tc>
        <w:tc>
          <w:tcPr>
            <w:tcW w:w="698" w:type="pct"/>
          </w:tcPr>
          <w:p w14:paraId="453EF7F5" w14:textId="762DE70F"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83FC0">
              <w:rPr>
                <w:rFonts w:ascii="Arial" w:hAnsi="Arial" w:cs="Arial"/>
                <w:lang w:val="en-US"/>
              </w:rPr>
              <w:t>320</w:t>
            </w:r>
          </w:p>
        </w:tc>
        <w:tc>
          <w:tcPr>
            <w:tcW w:w="699" w:type="pct"/>
          </w:tcPr>
          <w:p w14:paraId="75BD2C48" w14:textId="77777777"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AL: 800</w:t>
            </w:r>
          </w:p>
          <w:p w14:paraId="1BBB4F4B" w14:textId="01862B24"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83FC0">
              <w:rPr>
                <w:rFonts w:ascii="Arial" w:hAnsi="Arial" w:cs="Arial"/>
                <w:iCs/>
                <w:color w:val="000000"/>
                <w:lang w:val="en-US"/>
              </w:rPr>
              <w:t xml:space="preserve">MO: 940 </w:t>
            </w:r>
          </w:p>
        </w:tc>
        <w:tc>
          <w:tcPr>
            <w:tcW w:w="810" w:type="pct"/>
          </w:tcPr>
          <w:p w14:paraId="0C4AFDD9" w14:textId="31625A00" w:rsidR="00632910" w:rsidRPr="00883FC0" w:rsidRDefault="00632910" w:rsidP="00A071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83FC0">
              <w:rPr>
                <w:rFonts w:ascii="Arial" w:hAnsi="Arial" w:cs="Arial"/>
                <w:lang w:val="en-US"/>
              </w:rPr>
              <w:t>Mountain climate</w:t>
            </w:r>
          </w:p>
        </w:tc>
      </w:tr>
      <w:tr w:rsidR="00632910" w:rsidRPr="001452FC" w14:paraId="2BCE7DAF" w14:textId="33F918C4" w:rsidTr="00247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Borders>
              <w:bottom w:val="single" w:sz="4" w:space="0" w:color="auto"/>
              <w:right w:val="none" w:sz="0" w:space="0" w:color="auto"/>
            </w:tcBorders>
          </w:tcPr>
          <w:p w14:paraId="77AAB4E3" w14:textId="4D2916E4" w:rsidR="00632910" w:rsidRPr="00883FC0" w:rsidRDefault="00632910" w:rsidP="00A0712B">
            <w:pPr>
              <w:spacing w:line="360" w:lineRule="auto"/>
              <w:rPr>
                <w:rFonts w:ascii="Arial" w:hAnsi="Arial" w:cs="Arial"/>
                <w:b w:val="0"/>
                <w:lang w:val="en-US"/>
              </w:rPr>
            </w:pPr>
            <w:r w:rsidRPr="00883FC0">
              <w:rPr>
                <w:rFonts w:ascii="Arial" w:hAnsi="Arial" w:cs="Arial"/>
                <w:b w:val="0"/>
                <w:iCs/>
                <w:caps w:val="0"/>
                <w:color w:val="000000"/>
                <w:lang w:val="en-US"/>
              </w:rPr>
              <w:t>Champsaur mountain</w:t>
            </w:r>
          </w:p>
        </w:tc>
        <w:tc>
          <w:tcPr>
            <w:tcW w:w="698" w:type="pct"/>
            <w:tcBorders>
              <w:left w:val="nil"/>
              <w:bottom w:val="single" w:sz="4" w:space="0" w:color="auto"/>
            </w:tcBorders>
          </w:tcPr>
          <w:p w14:paraId="6AEA52A3" w14:textId="41BEEC99"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280</w:t>
            </w:r>
          </w:p>
        </w:tc>
        <w:tc>
          <w:tcPr>
            <w:tcW w:w="698" w:type="pct"/>
            <w:tcBorders>
              <w:bottom w:val="single" w:sz="4" w:space="0" w:color="auto"/>
            </w:tcBorders>
          </w:tcPr>
          <w:p w14:paraId="3A711FE4" w14:textId="34D051AA"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1320-3550</w:t>
            </w:r>
          </w:p>
        </w:tc>
        <w:tc>
          <w:tcPr>
            <w:tcW w:w="698" w:type="pct"/>
            <w:tcBorders>
              <w:bottom w:val="single" w:sz="4" w:space="0" w:color="auto"/>
            </w:tcBorders>
          </w:tcPr>
          <w:p w14:paraId="46EA0067" w14:textId="6BE92269"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30</w:t>
            </w:r>
          </w:p>
        </w:tc>
        <w:tc>
          <w:tcPr>
            <w:tcW w:w="698" w:type="pct"/>
            <w:tcBorders>
              <w:bottom w:val="single" w:sz="4" w:space="0" w:color="auto"/>
            </w:tcBorders>
          </w:tcPr>
          <w:p w14:paraId="20E13E3A" w14:textId="78CC7306"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420</w:t>
            </w:r>
          </w:p>
        </w:tc>
        <w:tc>
          <w:tcPr>
            <w:tcW w:w="699" w:type="pct"/>
            <w:tcBorders>
              <w:bottom w:val="single" w:sz="4" w:space="0" w:color="auto"/>
            </w:tcBorders>
          </w:tcPr>
          <w:p w14:paraId="7C1D0D16" w14:textId="38CEA4AB"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1070</w:t>
            </w:r>
          </w:p>
        </w:tc>
        <w:tc>
          <w:tcPr>
            <w:tcW w:w="810" w:type="pct"/>
            <w:tcBorders>
              <w:bottom w:val="single" w:sz="4" w:space="0" w:color="auto"/>
            </w:tcBorders>
          </w:tcPr>
          <w:p w14:paraId="7637F41C" w14:textId="2BCA3C0A" w:rsidR="00632910" w:rsidRPr="00883FC0" w:rsidRDefault="00632910" w:rsidP="00A071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83FC0">
              <w:rPr>
                <w:rFonts w:ascii="Arial" w:hAnsi="Arial" w:cs="Arial"/>
                <w:lang w:val="en-US"/>
              </w:rPr>
              <w:t xml:space="preserve">Mountain climate with </w:t>
            </w:r>
            <w:r w:rsidRPr="00883FC0">
              <w:rPr>
                <w:rFonts w:ascii="Arial" w:hAnsi="Arial" w:cs="Arial"/>
                <w:lang w:val="en-US"/>
              </w:rPr>
              <w:lastRenderedPageBreak/>
              <w:t>Mediterranean influence</w:t>
            </w:r>
          </w:p>
        </w:tc>
      </w:tr>
    </w:tbl>
    <w:p w14:paraId="2E1F3D3A" w14:textId="4C5CB800" w:rsidR="00E70626" w:rsidRPr="00883FC0" w:rsidRDefault="00E70626" w:rsidP="00E70626">
      <w:pPr>
        <w:spacing w:after="0" w:line="360" w:lineRule="auto"/>
        <w:jc w:val="both"/>
        <w:rPr>
          <w:rFonts w:ascii="Arial" w:hAnsi="Arial" w:cs="Arial"/>
          <w:i/>
          <w:iCs/>
          <w:sz w:val="20"/>
          <w:szCs w:val="24"/>
        </w:rPr>
      </w:pPr>
      <w:r w:rsidRPr="00883FC0">
        <w:rPr>
          <w:rFonts w:ascii="Arial" w:hAnsi="Arial" w:cs="Arial"/>
          <w:i/>
          <w:iCs/>
          <w:sz w:val="20"/>
          <w:szCs w:val="24"/>
        </w:rPr>
        <w:lastRenderedPageBreak/>
        <w:t xml:space="preserve">Belledonne : </w:t>
      </w:r>
      <w:proofErr w:type="gramStart"/>
      <w:r w:rsidRPr="00883FC0">
        <w:rPr>
          <w:rFonts w:ascii="Arial" w:hAnsi="Arial" w:cs="Arial"/>
          <w:i/>
          <w:iCs/>
          <w:sz w:val="20"/>
          <w:szCs w:val="24"/>
        </w:rPr>
        <w:t>AB:</w:t>
      </w:r>
      <w:proofErr w:type="gramEnd"/>
      <w:r w:rsidRPr="00883FC0">
        <w:rPr>
          <w:rFonts w:ascii="Arial" w:hAnsi="Arial" w:cs="Arial"/>
          <w:i/>
          <w:iCs/>
          <w:sz w:val="20"/>
          <w:szCs w:val="24"/>
        </w:rPr>
        <w:t xml:space="preserve"> Ane </w:t>
      </w:r>
      <w:proofErr w:type="spellStart"/>
      <w:r w:rsidRPr="00883FC0">
        <w:rPr>
          <w:rFonts w:ascii="Arial" w:hAnsi="Arial" w:cs="Arial"/>
          <w:i/>
          <w:iCs/>
          <w:sz w:val="20"/>
          <w:szCs w:val="24"/>
        </w:rPr>
        <w:t>Buyant</w:t>
      </w:r>
      <w:proofErr w:type="spellEnd"/>
      <w:r w:rsidRPr="00883FC0">
        <w:rPr>
          <w:rFonts w:ascii="Arial" w:hAnsi="Arial" w:cs="Arial"/>
          <w:i/>
          <w:iCs/>
          <w:sz w:val="20"/>
          <w:szCs w:val="24"/>
        </w:rPr>
        <w:t xml:space="preserve">, LP: La Pesée and SL: Sept </w:t>
      </w:r>
      <w:proofErr w:type="spellStart"/>
      <w:r w:rsidRPr="00883FC0">
        <w:rPr>
          <w:rFonts w:ascii="Arial" w:hAnsi="Arial" w:cs="Arial"/>
          <w:i/>
          <w:iCs/>
          <w:sz w:val="20"/>
          <w:szCs w:val="24"/>
        </w:rPr>
        <w:t>Laux</w:t>
      </w:r>
      <w:proofErr w:type="spellEnd"/>
      <w:r w:rsidR="001452FC">
        <w:rPr>
          <w:rFonts w:ascii="Arial" w:hAnsi="Arial" w:cs="Arial"/>
          <w:i/>
          <w:iCs/>
          <w:sz w:val="20"/>
          <w:szCs w:val="24"/>
        </w:rPr>
        <w:t>,</w:t>
      </w:r>
      <w:r>
        <w:rPr>
          <w:rFonts w:ascii="Arial" w:hAnsi="Arial" w:cs="Arial"/>
          <w:i/>
          <w:iCs/>
          <w:sz w:val="20"/>
          <w:szCs w:val="24"/>
        </w:rPr>
        <w:t xml:space="preserve"> </w:t>
      </w:r>
      <w:r w:rsidRPr="00883FC0">
        <w:rPr>
          <w:rFonts w:ascii="Arial" w:hAnsi="Arial" w:cs="Arial"/>
          <w:i/>
          <w:iCs/>
          <w:sz w:val="20"/>
          <w:szCs w:val="24"/>
        </w:rPr>
        <w:t xml:space="preserve">Cerces : AL: Aiguillette de </w:t>
      </w:r>
      <w:proofErr w:type="spellStart"/>
      <w:r w:rsidRPr="00883FC0">
        <w:rPr>
          <w:rFonts w:ascii="Arial" w:hAnsi="Arial" w:cs="Arial"/>
          <w:i/>
          <w:iCs/>
          <w:sz w:val="20"/>
          <w:szCs w:val="24"/>
        </w:rPr>
        <w:t>Lauzet</w:t>
      </w:r>
      <w:proofErr w:type="spellEnd"/>
      <w:r w:rsidRPr="00883FC0">
        <w:rPr>
          <w:rFonts w:ascii="Arial" w:hAnsi="Arial" w:cs="Arial"/>
          <w:i/>
          <w:iCs/>
          <w:sz w:val="20"/>
          <w:szCs w:val="24"/>
        </w:rPr>
        <w:t>, and MO: Montagne de l’Oule</w:t>
      </w:r>
      <w:r>
        <w:rPr>
          <w:rFonts w:ascii="Arial" w:hAnsi="Arial" w:cs="Arial"/>
          <w:i/>
          <w:iCs/>
          <w:sz w:val="20"/>
          <w:szCs w:val="24"/>
        </w:rPr>
        <w:t>.</w:t>
      </w:r>
    </w:p>
    <w:p w14:paraId="09636D5C" w14:textId="77777777" w:rsidR="0024743B" w:rsidRPr="00883FC0" w:rsidRDefault="0024743B" w:rsidP="00A0712B">
      <w:pPr>
        <w:spacing w:after="0" w:line="360" w:lineRule="auto"/>
      </w:pPr>
    </w:p>
    <w:p w14:paraId="60B605E3" w14:textId="77777777" w:rsidR="006463F4" w:rsidRPr="007C7D21" w:rsidRDefault="006463F4" w:rsidP="00A0712B">
      <w:pPr>
        <w:pStyle w:val="Titre3"/>
        <w:spacing w:before="0" w:line="360" w:lineRule="auto"/>
        <w:rPr>
          <w:rFonts w:ascii="Arial" w:hAnsi="Arial" w:cs="Arial"/>
          <w:i/>
          <w:color w:val="000000" w:themeColor="text1"/>
          <w:sz w:val="28"/>
          <w:lang w:val="en-US"/>
        </w:rPr>
      </w:pPr>
      <w:bookmarkStart w:id="11" w:name="_Toc129193240"/>
      <w:r w:rsidRPr="007C7D21">
        <w:rPr>
          <w:rFonts w:ascii="Arial" w:hAnsi="Arial" w:cs="Arial"/>
          <w:i/>
          <w:color w:val="000000" w:themeColor="text1"/>
          <w:sz w:val="28"/>
          <w:lang w:val="en-US"/>
        </w:rPr>
        <w:t>Sample collection</w:t>
      </w:r>
      <w:bookmarkEnd w:id="11"/>
    </w:p>
    <w:p w14:paraId="420CB05A" w14:textId="77777777" w:rsidR="006463F4" w:rsidRPr="007C7D21" w:rsidRDefault="006463F4" w:rsidP="00A0712B">
      <w:pPr>
        <w:spacing w:after="0" w:line="360" w:lineRule="auto"/>
        <w:jc w:val="both"/>
        <w:rPr>
          <w:rFonts w:ascii="Arial" w:hAnsi="Arial" w:cs="Arial"/>
          <w:sz w:val="24"/>
          <w:szCs w:val="24"/>
          <w:lang w:val="en-US"/>
        </w:rPr>
      </w:pPr>
    </w:p>
    <w:p w14:paraId="5367B981" w14:textId="1FDE84FD" w:rsidR="00685709" w:rsidRPr="00883FC0" w:rsidRDefault="00685709" w:rsidP="00A0712B">
      <w:pPr>
        <w:spacing w:after="0" w:line="360" w:lineRule="auto"/>
        <w:ind w:firstLine="708"/>
        <w:jc w:val="both"/>
        <w:rPr>
          <w:rFonts w:ascii="Arial" w:hAnsi="Arial" w:cs="Arial"/>
          <w:sz w:val="24"/>
          <w:szCs w:val="24"/>
          <w:lang w:val="en-US"/>
        </w:rPr>
      </w:pPr>
      <w:r w:rsidRPr="00883FC0">
        <w:rPr>
          <w:rFonts w:ascii="Arial" w:hAnsi="Arial" w:cs="Arial"/>
          <w:sz w:val="24"/>
          <w:szCs w:val="24"/>
          <w:lang w:val="en-GB"/>
        </w:rPr>
        <w:t xml:space="preserve">We collected sheep feces </w:t>
      </w:r>
      <w:r w:rsidR="00F179CB" w:rsidRPr="00883FC0">
        <w:rPr>
          <w:rFonts w:ascii="Arial" w:hAnsi="Arial" w:cs="Arial"/>
          <w:sz w:val="24"/>
          <w:szCs w:val="24"/>
          <w:lang w:val="en-GB"/>
        </w:rPr>
        <w:t>for</w:t>
      </w:r>
      <w:r w:rsidRPr="00883FC0">
        <w:rPr>
          <w:rFonts w:ascii="Arial" w:hAnsi="Arial" w:cs="Arial"/>
          <w:sz w:val="24"/>
          <w:szCs w:val="24"/>
          <w:lang w:val="en-GB"/>
        </w:rPr>
        <w:t xml:space="preserve"> 15 days after </w:t>
      </w:r>
      <w:r w:rsidR="003B2298" w:rsidRPr="003B2298">
        <w:rPr>
          <w:rFonts w:ascii="Arial" w:hAnsi="Arial" w:cs="Arial"/>
          <w:sz w:val="24"/>
          <w:szCs w:val="24"/>
          <w:highlight w:val="yellow"/>
          <w:lang w:val="en-GB"/>
        </w:rPr>
        <w:t>their</w:t>
      </w:r>
      <w:r w:rsidR="003B2298">
        <w:rPr>
          <w:rFonts w:ascii="Arial" w:hAnsi="Arial" w:cs="Arial"/>
          <w:sz w:val="24"/>
          <w:szCs w:val="24"/>
          <w:lang w:val="en-GB"/>
        </w:rPr>
        <w:t xml:space="preserve"> </w:t>
      </w:r>
      <w:r w:rsidRPr="00883FC0">
        <w:rPr>
          <w:rFonts w:ascii="Arial" w:hAnsi="Arial" w:cs="Arial"/>
          <w:sz w:val="24"/>
          <w:szCs w:val="24"/>
          <w:lang w:val="en-GB"/>
        </w:rPr>
        <w:t xml:space="preserve">arrival on pasture to ensure that we collected nematode species representative of sheep at the time of arrival on pastures and </w:t>
      </w:r>
      <w:r w:rsidR="00203020" w:rsidRPr="00883FC0">
        <w:rPr>
          <w:rFonts w:ascii="Arial" w:hAnsi="Arial" w:cs="Arial"/>
          <w:sz w:val="24"/>
          <w:szCs w:val="24"/>
          <w:lang w:val="en-GB"/>
        </w:rPr>
        <w:t>no</w:t>
      </w:r>
      <w:r w:rsidRPr="00883FC0">
        <w:rPr>
          <w:rFonts w:ascii="Arial" w:hAnsi="Arial" w:cs="Arial"/>
          <w:sz w:val="24"/>
          <w:szCs w:val="24"/>
          <w:lang w:val="en-GB"/>
        </w:rPr>
        <w:t>t</w:t>
      </w:r>
      <w:r w:rsidR="00203020" w:rsidRPr="00883FC0">
        <w:rPr>
          <w:rFonts w:ascii="Arial" w:hAnsi="Arial" w:cs="Arial"/>
          <w:sz w:val="24"/>
          <w:szCs w:val="24"/>
          <w:lang w:val="en-GB"/>
        </w:rPr>
        <w:t xml:space="preserve"> those</w:t>
      </w:r>
      <w:r w:rsidRPr="00883FC0">
        <w:rPr>
          <w:rFonts w:ascii="Arial" w:hAnsi="Arial" w:cs="Arial"/>
          <w:sz w:val="24"/>
          <w:szCs w:val="24"/>
          <w:lang w:val="en-GB"/>
        </w:rPr>
        <w:t xml:space="preserve"> ingested secondarily on alpine pastures. Similarly, ibex feces were collected prior to the arrival sheep and until 15 days after arrival to ensure that the nematode community was not influenced by the arrival of domestic livestock. </w:t>
      </w:r>
      <w:r w:rsidR="007C7D21" w:rsidRPr="007C7D21">
        <w:rPr>
          <w:rFonts w:ascii="Arial" w:hAnsi="Arial" w:cs="Arial"/>
          <w:sz w:val="24"/>
          <w:szCs w:val="24"/>
          <w:highlight w:val="yellow"/>
          <w:lang w:val="en-GB"/>
        </w:rPr>
        <w:t>We collected</w:t>
      </w:r>
      <w:r w:rsidR="007C7D21">
        <w:rPr>
          <w:rFonts w:ascii="Arial" w:hAnsi="Arial" w:cs="Arial"/>
          <w:sz w:val="24"/>
          <w:szCs w:val="24"/>
          <w:lang w:val="en-GB"/>
        </w:rPr>
        <w:t xml:space="preserve"> f</w:t>
      </w:r>
      <w:r w:rsidRPr="00883FC0">
        <w:rPr>
          <w:rFonts w:ascii="Arial" w:hAnsi="Arial" w:cs="Arial"/>
          <w:sz w:val="24"/>
          <w:szCs w:val="24"/>
          <w:lang w:val="en-GB"/>
        </w:rPr>
        <w:t>resh ibex feces mostly directly on the ground and, in Belledonne, also during captures as part of the long-term monitoring program conducted by the French Office for Biodiversity.</w:t>
      </w:r>
      <w:r w:rsidR="00DA5714" w:rsidRPr="00883FC0">
        <w:rPr>
          <w:rFonts w:ascii="Arial" w:hAnsi="Arial" w:cs="Arial"/>
          <w:sz w:val="24"/>
          <w:szCs w:val="24"/>
          <w:lang w:val="en-GB"/>
        </w:rPr>
        <w:t xml:space="preserve"> </w:t>
      </w:r>
      <w:r w:rsidR="00DA5714" w:rsidRPr="00883FC0">
        <w:rPr>
          <w:rFonts w:ascii="Arial" w:eastAsia="Times New Roman" w:hAnsi="Arial" w:cs="Arial"/>
          <w:sz w:val="24"/>
          <w:szCs w:val="24"/>
          <w:lang w:val="en-US" w:eastAsia="fr-FR"/>
        </w:rPr>
        <w:t xml:space="preserve">Ibex feces were collected within each of the pastoral units </w:t>
      </w:r>
      <w:r w:rsidR="007C7D21" w:rsidRPr="007C7D21">
        <w:rPr>
          <w:rFonts w:ascii="Arial" w:eastAsia="Times New Roman" w:hAnsi="Arial" w:cs="Arial"/>
          <w:sz w:val="24"/>
          <w:szCs w:val="24"/>
          <w:highlight w:val="yellow"/>
          <w:lang w:val="en-US" w:eastAsia="fr-FR"/>
        </w:rPr>
        <w:t>where</w:t>
      </w:r>
      <w:r w:rsidR="00DA5714" w:rsidRPr="00883FC0">
        <w:rPr>
          <w:rFonts w:ascii="Arial" w:eastAsia="Times New Roman" w:hAnsi="Arial" w:cs="Arial"/>
          <w:sz w:val="24"/>
          <w:szCs w:val="24"/>
          <w:lang w:val="en-US" w:eastAsia="fr-FR"/>
        </w:rPr>
        <w:t xml:space="preserve"> we collected sheep feces.</w:t>
      </w:r>
      <w:r w:rsidRPr="00883FC0">
        <w:rPr>
          <w:rFonts w:ascii="Arial" w:hAnsi="Arial" w:cs="Arial"/>
          <w:sz w:val="24"/>
          <w:szCs w:val="24"/>
          <w:lang w:val="en-GB"/>
        </w:rPr>
        <w:t xml:space="preserve"> </w:t>
      </w:r>
      <w:r w:rsidRPr="007C7D21">
        <w:rPr>
          <w:rFonts w:ascii="Arial" w:hAnsi="Arial" w:cs="Arial"/>
          <w:sz w:val="24"/>
          <w:szCs w:val="24"/>
          <w:highlight w:val="yellow"/>
          <w:lang w:val="en-GB"/>
        </w:rPr>
        <w:t>Whe</w:t>
      </w:r>
      <w:r w:rsidR="007C7D21" w:rsidRPr="007C7D21">
        <w:rPr>
          <w:rFonts w:ascii="Arial" w:hAnsi="Arial" w:cs="Arial"/>
          <w:sz w:val="24"/>
          <w:szCs w:val="24"/>
          <w:highlight w:val="yellow"/>
          <w:lang w:val="en-GB"/>
        </w:rPr>
        <w:t>never</w:t>
      </w:r>
      <w:r w:rsidRPr="00883FC0">
        <w:rPr>
          <w:rFonts w:ascii="Arial" w:hAnsi="Arial" w:cs="Arial"/>
          <w:sz w:val="24"/>
          <w:szCs w:val="24"/>
          <w:lang w:val="en-GB"/>
        </w:rPr>
        <w:t xml:space="preserve"> possible, feces were collected immediately after observation of ibex to avoid collecting of feces from the same individual. </w:t>
      </w:r>
      <w:r w:rsidR="00DA5714" w:rsidRPr="00883FC0">
        <w:rPr>
          <w:rFonts w:ascii="Arial" w:hAnsi="Arial" w:cs="Arial"/>
          <w:sz w:val="24"/>
          <w:szCs w:val="24"/>
          <w:lang w:val="en-GB"/>
        </w:rPr>
        <w:t xml:space="preserve">Feces from all age groups were collected. </w:t>
      </w:r>
      <w:r w:rsidRPr="00883FC0">
        <w:rPr>
          <w:rFonts w:ascii="Arial" w:hAnsi="Arial" w:cs="Arial"/>
          <w:sz w:val="24"/>
          <w:szCs w:val="24"/>
          <w:lang w:val="en-GB"/>
        </w:rPr>
        <w:t xml:space="preserve">Samples were stored in plastic bags, sealed after air removal, and </w:t>
      </w:r>
      <w:proofErr w:type="spellStart"/>
      <w:r w:rsidRPr="00883FC0">
        <w:rPr>
          <w:rFonts w:ascii="Arial" w:hAnsi="Arial" w:cs="Arial"/>
          <w:sz w:val="24"/>
          <w:szCs w:val="24"/>
          <w:lang w:val="en-GB"/>
        </w:rPr>
        <w:t>analyzed</w:t>
      </w:r>
      <w:proofErr w:type="spellEnd"/>
      <w:r w:rsidRPr="00883FC0">
        <w:rPr>
          <w:rFonts w:ascii="Arial" w:hAnsi="Arial" w:cs="Arial"/>
          <w:sz w:val="24"/>
          <w:szCs w:val="24"/>
          <w:lang w:val="en-GB"/>
        </w:rPr>
        <w:t xml:space="preserve"> within 48h upon receipt in the parasitology laboratory of the National Veterinary School of Lyon (ENVL, Marcy-</w:t>
      </w:r>
      <w:proofErr w:type="spellStart"/>
      <w:r w:rsidRPr="00883FC0">
        <w:rPr>
          <w:rFonts w:ascii="Arial" w:hAnsi="Arial" w:cs="Arial"/>
          <w:sz w:val="24"/>
          <w:szCs w:val="24"/>
          <w:lang w:val="en-GB"/>
        </w:rPr>
        <w:t>l'Étoile</w:t>
      </w:r>
      <w:proofErr w:type="spellEnd"/>
      <w:r w:rsidRPr="00883FC0">
        <w:rPr>
          <w:rFonts w:ascii="Arial" w:hAnsi="Arial" w:cs="Arial"/>
          <w:sz w:val="24"/>
          <w:szCs w:val="24"/>
          <w:lang w:val="en-GB"/>
        </w:rPr>
        <w:t>, France)</w:t>
      </w:r>
      <w:r w:rsidR="00203020" w:rsidRPr="00883FC0">
        <w:rPr>
          <w:rFonts w:ascii="Arial" w:hAnsi="Arial" w:cs="Arial"/>
          <w:sz w:val="24"/>
          <w:szCs w:val="24"/>
          <w:lang w:val="en-GB"/>
        </w:rPr>
        <w:t xml:space="preserve"> or up to a maximum of 15 days after field collection (mean: 2.5</w:t>
      </w:r>
      <w:r w:rsidR="0024743B" w:rsidRPr="00883FC0">
        <w:rPr>
          <w:rFonts w:ascii="Arial" w:hAnsi="Arial" w:cs="Arial"/>
          <w:sz w:val="24"/>
          <w:szCs w:val="24"/>
          <w:lang w:val="en-GB"/>
        </w:rPr>
        <w:t xml:space="preserve"> </w:t>
      </w:r>
      <w:r w:rsidR="00203020" w:rsidRPr="00883FC0">
        <w:rPr>
          <w:rFonts w:ascii="Arial" w:hAnsi="Arial" w:cs="Arial"/>
          <w:sz w:val="24"/>
          <w:szCs w:val="24"/>
          <w:lang w:val="en-GB"/>
        </w:rPr>
        <w:t>days)</w:t>
      </w:r>
      <w:r w:rsidRPr="00883FC0">
        <w:rPr>
          <w:rFonts w:ascii="Arial" w:hAnsi="Arial" w:cs="Arial"/>
          <w:sz w:val="24"/>
          <w:szCs w:val="24"/>
          <w:lang w:val="en-GB"/>
        </w:rPr>
        <w:t xml:space="preserve">. In total, we sampled 167 fecal samples from ibex and 90 fecal samples from 6 sheep herds, distributed over </w:t>
      </w:r>
      <w:r w:rsidR="00F95126" w:rsidRPr="00883FC0">
        <w:rPr>
          <w:rFonts w:ascii="Arial" w:hAnsi="Arial" w:cs="Arial"/>
          <w:sz w:val="24"/>
          <w:szCs w:val="24"/>
          <w:lang w:val="en-GB"/>
        </w:rPr>
        <w:t>6</w:t>
      </w:r>
      <w:r w:rsidRPr="00883FC0">
        <w:rPr>
          <w:rFonts w:ascii="Arial" w:hAnsi="Arial" w:cs="Arial"/>
          <w:sz w:val="24"/>
          <w:szCs w:val="24"/>
          <w:lang w:val="en-GB"/>
        </w:rPr>
        <w:t xml:space="preserve"> </w:t>
      </w:r>
      <w:r w:rsidR="00F95126" w:rsidRPr="00883FC0">
        <w:rPr>
          <w:rFonts w:ascii="Arial" w:hAnsi="Arial" w:cs="Arial"/>
          <w:sz w:val="24"/>
          <w:szCs w:val="24"/>
          <w:lang w:val="en-GB"/>
        </w:rPr>
        <w:t>pastoral units</w:t>
      </w:r>
      <w:r w:rsidRPr="00883FC0">
        <w:rPr>
          <w:rFonts w:ascii="Arial" w:hAnsi="Arial" w:cs="Arial"/>
          <w:sz w:val="24"/>
          <w:szCs w:val="24"/>
          <w:lang w:val="en-GB"/>
        </w:rPr>
        <w:t xml:space="preserve">, i.e., </w:t>
      </w:r>
      <w:r w:rsidRPr="00883FC0">
        <w:rPr>
          <w:rFonts w:ascii="Arial" w:hAnsi="Arial" w:cs="Arial"/>
          <w:sz w:val="24"/>
          <w:szCs w:val="24"/>
          <w:lang w:val="en-US"/>
        </w:rPr>
        <w:t xml:space="preserve">Aiguillette du </w:t>
      </w:r>
      <w:proofErr w:type="spellStart"/>
      <w:r w:rsidRPr="00883FC0">
        <w:rPr>
          <w:rFonts w:ascii="Arial" w:hAnsi="Arial" w:cs="Arial"/>
          <w:sz w:val="24"/>
          <w:szCs w:val="24"/>
          <w:lang w:val="en-US"/>
        </w:rPr>
        <w:t>Lauzet</w:t>
      </w:r>
      <w:proofErr w:type="spellEnd"/>
      <w:r w:rsidRPr="00883FC0">
        <w:rPr>
          <w:rFonts w:ascii="Arial" w:hAnsi="Arial" w:cs="Arial"/>
          <w:sz w:val="24"/>
          <w:szCs w:val="24"/>
          <w:lang w:val="en-US"/>
        </w:rPr>
        <w:t>,</w:t>
      </w:r>
      <w:r w:rsidR="00F95126" w:rsidRPr="00883FC0">
        <w:rPr>
          <w:rFonts w:ascii="Arial" w:hAnsi="Arial" w:cs="Arial"/>
          <w:sz w:val="24"/>
          <w:szCs w:val="24"/>
          <w:lang w:val="en-US"/>
        </w:rPr>
        <w:t xml:space="preserve"> </w:t>
      </w:r>
      <w:r w:rsidRPr="00883FC0">
        <w:rPr>
          <w:rFonts w:ascii="Arial" w:hAnsi="Arial" w:cs="Arial"/>
          <w:sz w:val="24"/>
          <w:szCs w:val="24"/>
          <w:lang w:val="en-US"/>
        </w:rPr>
        <w:t xml:space="preserve">Montagne de </w:t>
      </w:r>
      <w:proofErr w:type="spellStart"/>
      <w:r w:rsidRPr="00883FC0">
        <w:rPr>
          <w:rFonts w:ascii="Arial" w:hAnsi="Arial" w:cs="Arial"/>
          <w:sz w:val="24"/>
          <w:szCs w:val="24"/>
          <w:lang w:val="en-US"/>
        </w:rPr>
        <w:t>l’Oule</w:t>
      </w:r>
      <w:proofErr w:type="spellEnd"/>
      <w:r w:rsidRPr="00883FC0">
        <w:rPr>
          <w:rFonts w:ascii="Arial" w:hAnsi="Arial" w:cs="Arial"/>
          <w:sz w:val="24"/>
          <w:szCs w:val="24"/>
          <w:lang w:val="en-US"/>
        </w:rPr>
        <w:t>,</w:t>
      </w:r>
      <w:r w:rsidR="00F95126" w:rsidRPr="00883FC0">
        <w:rPr>
          <w:rFonts w:ascii="Arial" w:hAnsi="Arial" w:cs="Arial"/>
          <w:sz w:val="24"/>
          <w:szCs w:val="24"/>
          <w:lang w:val="en-US"/>
        </w:rPr>
        <w:t xml:space="preserve"> </w:t>
      </w:r>
      <w:r w:rsidR="00F95126" w:rsidRPr="00883FC0">
        <w:rPr>
          <w:rFonts w:ascii="Arial" w:hAnsi="Arial" w:cs="Arial"/>
          <w:sz w:val="24"/>
          <w:szCs w:val="24"/>
          <w:lang w:val="en-GB"/>
        </w:rPr>
        <w:t xml:space="preserve">Champsaur, </w:t>
      </w:r>
      <w:proofErr w:type="spellStart"/>
      <w:r w:rsidR="00F95126" w:rsidRPr="00883FC0">
        <w:rPr>
          <w:rFonts w:ascii="Arial" w:hAnsi="Arial" w:cs="Arial"/>
          <w:sz w:val="24"/>
          <w:szCs w:val="24"/>
          <w:lang w:val="en-GB"/>
        </w:rPr>
        <w:t>Ane</w:t>
      </w:r>
      <w:proofErr w:type="spellEnd"/>
      <w:r w:rsidR="00F95126" w:rsidRPr="00883FC0">
        <w:rPr>
          <w:rFonts w:ascii="Arial" w:hAnsi="Arial" w:cs="Arial"/>
          <w:sz w:val="24"/>
          <w:szCs w:val="24"/>
          <w:lang w:val="en-GB"/>
        </w:rPr>
        <w:t xml:space="preserve"> </w:t>
      </w:r>
      <w:proofErr w:type="spellStart"/>
      <w:r w:rsidR="00F95126" w:rsidRPr="00883FC0">
        <w:rPr>
          <w:rFonts w:ascii="Arial" w:hAnsi="Arial" w:cs="Arial"/>
          <w:sz w:val="24"/>
          <w:szCs w:val="24"/>
          <w:lang w:val="en-GB"/>
        </w:rPr>
        <w:t>Buyant</w:t>
      </w:r>
      <w:proofErr w:type="spellEnd"/>
      <w:r w:rsidR="00F95126" w:rsidRPr="00883FC0">
        <w:rPr>
          <w:rFonts w:ascii="Arial" w:hAnsi="Arial" w:cs="Arial"/>
          <w:sz w:val="24"/>
          <w:szCs w:val="24"/>
          <w:lang w:val="en-GB"/>
        </w:rPr>
        <w:t xml:space="preserve">, La </w:t>
      </w:r>
      <w:proofErr w:type="spellStart"/>
      <w:r w:rsidR="00F95126" w:rsidRPr="00883FC0">
        <w:rPr>
          <w:rFonts w:ascii="Arial" w:hAnsi="Arial" w:cs="Arial"/>
          <w:sz w:val="24"/>
          <w:szCs w:val="24"/>
          <w:lang w:val="en-GB"/>
        </w:rPr>
        <w:t>Pesée</w:t>
      </w:r>
      <w:proofErr w:type="spellEnd"/>
      <w:r w:rsidR="00F95126" w:rsidRPr="00883FC0">
        <w:rPr>
          <w:rFonts w:ascii="Arial" w:hAnsi="Arial" w:cs="Arial"/>
          <w:sz w:val="24"/>
          <w:szCs w:val="24"/>
          <w:lang w:val="en-GB"/>
        </w:rPr>
        <w:t xml:space="preserve"> and Sept Laux</w:t>
      </w:r>
      <w:r w:rsidRPr="00883FC0">
        <w:rPr>
          <w:rFonts w:ascii="Arial" w:hAnsi="Arial" w:cs="Arial"/>
          <w:sz w:val="24"/>
          <w:szCs w:val="24"/>
          <w:lang w:val="en-US"/>
        </w:rPr>
        <w:t xml:space="preserve"> (</w:t>
      </w:r>
      <w:r w:rsidRPr="00883FC0">
        <w:rPr>
          <w:rFonts w:ascii="Arial" w:hAnsi="Arial" w:cs="Arial"/>
          <w:sz w:val="24"/>
          <w:szCs w:val="24"/>
          <w:lang w:val="en-GB"/>
        </w:rPr>
        <w:fldChar w:fldCharType="begin"/>
      </w:r>
      <w:r w:rsidRPr="00883FC0">
        <w:rPr>
          <w:rFonts w:ascii="Arial" w:hAnsi="Arial" w:cs="Arial"/>
          <w:sz w:val="24"/>
          <w:szCs w:val="24"/>
          <w:lang w:val="en-US"/>
        </w:rPr>
        <w:instrText xml:space="preserve"> REF _Ref128753943 \h  \* MERGEFORMAT </w:instrText>
      </w:r>
      <w:r w:rsidRPr="00883FC0">
        <w:rPr>
          <w:rFonts w:ascii="Arial" w:hAnsi="Arial" w:cs="Arial"/>
          <w:sz w:val="24"/>
          <w:szCs w:val="24"/>
          <w:lang w:val="en-GB"/>
        </w:rPr>
      </w:r>
      <w:r w:rsidRPr="00883FC0">
        <w:rPr>
          <w:rFonts w:ascii="Arial" w:hAnsi="Arial" w:cs="Arial"/>
          <w:sz w:val="24"/>
          <w:szCs w:val="24"/>
          <w:lang w:val="en-GB"/>
        </w:rPr>
        <w:fldChar w:fldCharType="separate"/>
      </w:r>
      <w:r w:rsidR="00870D7F" w:rsidRPr="00870D7F">
        <w:rPr>
          <w:rFonts w:ascii="Arial" w:hAnsi="Arial" w:cs="Arial"/>
          <w:sz w:val="24"/>
          <w:szCs w:val="24"/>
          <w:lang w:val="en-US"/>
        </w:rPr>
        <w:t xml:space="preserve">Table </w:t>
      </w:r>
      <w:r w:rsidR="00870D7F" w:rsidRPr="00870D7F">
        <w:rPr>
          <w:rFonts w:ascii="Arial" w:hAnsi="Arial" w:cs="Arial"/>
          <w:noProof/>
          <w:sz w:val="24"/>
          <w:szCs w:val="24"/>
          <w:lang w:val="en-US"/>
        </w:rPr>
        <w:t>2</w:t>
      </w:r>
      <w:r w:rsidRPr="00883FC0">
        <w:rPr>
          <w:rFonts w:ascii="Arial" w:hAnsi="Arial" w:cs="Arial"/>
          <w:sz w:val="24"/>
          <w:szCs w:val="24"/>
          <w:lang w:val="en-GB"/>
        </w:rPr>
        <w:fldChar w:fldCharType="end"/>
      </w:r>
      <w:r w:rsidR="001B5371" w:rsidRPr="00883FC0">
        <w:rPr>
          <w:rFonts w:ascii="Arial" w:hAnsi="Arial" w:cs="Arial"/>
          <w:sz w:val="24"/>
          <w:szCs w:val="24"/>
          <w:lang w:val="en-US"/>
        </w:rPr>
        <w:t>, Figure S1</w:t>
      </w:r>
      <w:bookmarkStart w:id="12" w:name="_Hlk160385324"/>
      <w:r w:rsidR="007D07A6" w:rsidRPr="00883FC0">
        <w:rPr>
          <w:rFonts w:ascii="Arial" w:hAnsi="Arial" w:cs="Arial"/>
          <w:sz w:val="24"/>
          <w:szCs w:val="24"/>
          <w:lang w:val="en-US"/>
        </w:rPr>
        <w:t xml:space="preserve">). </w:t>
      </w:r>
      <w:r w:rsidR="007D07A6" w:rsidRPr="00883FC0">
        <w:rPr>
          <w:rFonts w:ascii="Arial" w:eastAsia="Times New Roman" w:hAnsi="Arial" w:cs="Arial"/>
          <w:sz w:val="24"/>
          <w:szCs w:val="24"/>
          <w:lang w:val="en-US" w:eastAsia="fr-FR"/>
        </w:rPr>
        <w:t>In Belledonne, 21 samples were collected in 2018 following the sampling strategy of 2019. We controlled that year of sampling did not result in</w:t>
      </w:r>
      <w:r w:rsidR="0024743B" w:rsidRPr="00883FC0">
        <w:rPr>
          <w:rFonts w:ascii="Arial" w:eastAsia="Times New Roman" w:hAnsi="Arial" w:cs="Arial"/>
          <w:sz w:val="24"/>
          <w:szCs w:val="24"/>
          <w:lang w:val="en-US" w:eastAsia="fr-FR"/>
        </w:rPr>
        <w:t xml:space="preserve"> a</w:t>
      </w:r>
      <w:r w:rsidR="007D07A6" w:rsidRPr="00883FC0">
        <w:rPr>
          <w:rFonts w:ascii="Arial" w:eastAsia="Times New Roman" w:hAnsi="Arial" w:cs="Arial"/>
          <w:sz w:val="24"/>
          <w:szCs w:val="24"/>
          <w:lang w:val="en-US" w:eastAsia="fr-FR"/>
        </w:rPr>
        <w:t xml:space="preserve"> </w:t>
      </w:r>
      <w:r w:rsidR="007C7D21" w:rsidRPr="007C7D21">
        <w:rPr>
          <w:rFonts w:ascii="Arial" w:eastAsia="Times New Roman" w:hAnsi="Arial" w:cs="Arial"/>
          <w:sz w:val="24"/>
          <w:szCs w:val="24"/>
          <w:highlight w:val="yellow"/>
          <w:lang w:val="en-US" w:eastAsia="fr-FR"/>
        </w:rPr>
        <w:t>significant</w:t>
      </w:r>
      <w:r w:rsidR="007D07A6" w:rsidRPr="00883FC0">
        <w:rPr>
          <w:rFonts w:ascii="Arial" w:eastAsia="Times New Roman" w:hAnsi="Arial" w:cs="Arial"/>
          <w:sz w:val="24"/>
          <w:szCs w:val="24"/>
          <w:lang w:val="en-US" w:eastAsia="fr-FR"/>
        </w:rPr>
        <w:t xml:space="preserve"> change </w:t>
      </w:r>
      <w:r w:rsidR="0024743B" w:rsidRPr="00883FC0">
        <w:rPr>
          <w:rFonts w:ascii="Arial" w:eastAsia="Times New Roman" w:hAnsi="Arial" w:cs="Arial"/>
          <w:sz w:val="24"/>
          <w:szCs w:val="24"/>
          <w:lang w:val="en-US" w:eastAsia="fr-FR"/>
        </w:rPr>
        <w:t>in the</w:t>
      </w:r>
      <w:r w:rsidR="007D07A6" w:rsidRPr="00883FC0">
        <w:rPr>
          <w:rFonts w:ascii="Arial" w:eastAsia="Times New Roman" w:hAnsi="Arial" w:cs="Arial"/>
          <w:sz w:val="24"/>
          <w:szCs w:val="24"/>
          <w:lang w:val="en-US" w:eastAsia="fr-FR"/>
        </w:rPr>
        <w:t xml:space="preserve"> nemabiome </w:t>
      </w:r>
      <w:r w:rsidR="0024743B" w:rsidRPr="00883FC0">
        <w:rPr>
          <w:rFonts w:ascii="Arial" w:eastAsia="Times New Roman" w:hAnsi="Arial" w:cs="Arial"/>
          <w:sz w:val="24"/>
          <w:szCs w:val="24"/>
          <w:lang w:val="en-US" w:eastAsia="fr-FR"/>
        </w:rPr>
        <w:t>of</w:t>
      </w:r>
      <w:r w:rsidR="007D07A6" w:rsidRPr="00883FC0">
        <w:rPr>
          <w:rFonts w:ascii="Arial" w:eastAsia="Times New Roman" w:hAnsi="Arial" w:cs="Arial"/>
          <w:sz w:val="24"/>
          <w:szCs w:val="24"/>
          <w:lang w:val="en-US" w:eastAsia="fr-FR"/>
        </w:rPr>
        <w:t xml:space="preserve"> ibex (</w:t>
      </w:r>
      <w:r w:rsidR="0024743B" w:rsidRPr="00883FC0">
        <w:rPr>
          <w:rFonts w:ascii="Arial" w:eastAsia="Times New Roman" w:hAnsi="Arial" w:cs="Arial"/>
          <w:sz w:val="24"/>
          <w:szCs w:val="24"/>
          <w:lang w:val="en-US" w:eastAsia="fr-FR"/>
        </w:rPr>
        <w:t>F</w:t>
      </w:r>
      <w:r w:rsidR="007D07A6" w:rsidRPr="00883FC0">
        <w:rPr>
          <w:rFonts w:ascii="Arial" w:eastAsia="Times New Roman" w:hAnsi="Arial" w:cs="Arial"/>
          <w:sz w:val="24"/>
          <w:szCs w:val="24"/>
          <w:lang w:val="en-US" w:eastAsia="fr-FR"/>
        </w:rPr>
        <w:t>igure S6) and included those samples in</w:t>
      </w:r>
      <w:r w:rsidR="007C7D21">
        <w:rPr>
          <w:rFonts w:ascii="Arial" w:eastAsia="Times New Roman" w:hAnsi="Arial" w:cs="Arial"/>
          <w:sz w:val="24"/>
          <w:szCs w:val="24"/>
          <w:lang w:val="en-US" w:eastAsia="fr-FR"/>
        </w:rPr>
        <w:t xml:space="preserve"> </w:t>
      </w:r>
      <w:r w:rsidR="007C7D21" w:rsidRPr="007C7D21">
        <w:rPr>
          <w:rFonts w:ascii="Arial" w:eastAsia="Times New Roman" w:hAnsi="Arial" w:cs="Arial"/>
          <w:sz w:val="24"/>
          <w:szCs w:val="24"/>
          <w:highlight w:val="yellow"/>
          <w:lang w:val="en-US" w:eastAsia="fr-FR"/>
        </w:rPr>
        <w:t>the</w:t>
      </w:r>
      <w:r w:rsidR="007D07A6" w:rsidRPr="00883FC0">
        <w:rPr>
          <w:rFonts w:ascii="Arial" w:eastAsia="Times New Roman" w:hAnsi="Arial" w:cs="Arial"/>
          <w:sz w:val="24"/>
          <w:szCs w:val="24"/>
          <w:lang w:val="en-US" w:eastAsia="fr-FR"/>
        </w:rPr>
        <w:t xml:space="preserve"> analyses</w:t>
      </w:r>
      <w:bookmarkEnd w:id="12"/>
      <w:r w:rsidR="00315D8D" w:rsidRPr="00883FC0">
        <w:rPr>
          <w:rFonts w:ascii="Arial" w:hAnsi="Arial" w:cs="Arial"/>
          <w:sz w:val="24"/>
          <w:szCs w:val="24"/>
          <w:lang w:val="en-US"/>
        </w:rPr>
        <w:t>.</w:t>
      </w:r>
    </w:p>
    <w:p w14:paraId="75C95141" w14:textId="6C8CCC5F" w:rsidR="000D0899" w:rsidRPr="00883FC0" w:rsidRDefault="000D0899" w:rsidP="00A0712B">
      <w:pPr>
        <w:spacing w:after="0" w:line="360" w:lineRule="auto"/>
        <w:ind w:firstLine="708"/>
        <w:jc w:val="both"/>
        <w:rPr>
          <w:rFonts w:ascii="Arial" w:hAnsi="Arial" w:cs="Arial"/>
          <w:sz w:val="24"/>
          <w:szCs w:val="24"/>
          <w:lang w:val="en-GB"/>
        </w:rPr>
      </w:pPr>
    </w:p>
    <w:p w14:paraId="1A697916" w14:textId="3A31CEF4" w:rsidR="00685709" w:rsidRPr="00883FC0" w:rsidRDefault="00685709" w:rsidP="00A0712B">
      <w:pPr>
        <w:pStyle w:val="Lgende"/>
        <w:spacing w:after="0" w:line="360" w:lineRule="auto"/>
        <w:jc w:val="both"/>
        <w:rPr>
          <w:rFonts w:ascii="Arial" w:hAnsi="Arial" w:cs="Arial"/>
          <w:b w:val="0"/>
          <w:iCs/>
          <w:color w:val="auto"/>
          <w:sz w:val="24"/>
          <w:szCs w:val="24"/>
          <w:lang w:val="en-US"/>
        </w:rPr>
      </w:pPr>
      <w:bookmarkStart w:id="13" w:name="_Ref128753943"/>
      <w:bookmarkStart w:id="14" w:name="_Toc130062600"/>
      <w:r w:rsidRPr="00883FC0">
        <w:rPr>
          <w:rFonts w:ascii="Arial" w:hAnsi="Arial" w:cs="Arial"/>
          <w:color w:val="auto"/>
          <w:sz w:val="24"/>
          <w:szCs w:val="24"/>
          <w:u w:val="single"/>
          <w:lang w:val="en-GB"/>
        </w:rPr>
        <w:t xml:space="preserve">Table </w:t>
      </w:r>
      <w:r w:rsidRPr="00883FC0">
        <w:rPr>
          <w:rFonts w:ascii="Arial" w:hAnsi="Arial" w:cs="Arial"/>
          <w:color w:val="auto"/>
          <w:sz w:val="24"/>
          <w:szCs w:val="24"/>
          <w:u w:val="single"/>
          <w:lang w:val="en-GB"/>
        </w:rPr>
        <w:fldChar w:fldCharType="begin"/>
      </w:r>
      <w:r w:rsidRPr="00883FC0">
        <w:rPr>
          <w:rFonts w:ascii="Arial" w:hAnsi="Arial" w:cs="Arial"/>
          <w:color w:val="auto"/>
          <w:sz w:val="24"/>
          <w:szCs w:val="24"/>
          <w:u w:val="single"/>
          <w:lang w:val="en-GB"/>
        </w:rPr>
        <w:instrText xml:space="preserve"> SEQ Tableau \* ARABIC </w:instrText>
      </w:r>
      <w:r w:rsidRPr="00883FC0">
        <w:rPr>
          <w:rFonts w:ascii="Arial" w:hAnsi="Arial" w:cs="Arial"/>
          <w:color w:val="auto"/>
          <w:sz w:val="24"/>
          <w:szCs w:val="24"/>
          <w:u w:val="single"/>
          <w:lang w:val="en-GB"/>
        </w:rPr>
        <w:fldChar w:fldCharType="separate"/>
      </w:r>
      <w:r w:rsidR="00870D7F">
        <w:rPr>
          <w:rFonts w:ascii="Arial" w:hAnsi="Arial" w:cs="Arial"/>
          <w:noProof/>
          <w:color w:val="auto"/>
          <w:sz w:val="24"/>
          <w:szCs w:val="24"/>
          <w:u w:val="single"/>
          <w:lang w:val="en-GB"/>
        </w:rPr>
        <w:t>2</w:t>
      </w:r>
      <w:r w:rsidRPr="00883FC0">
        <w:rPr>
          <w:rFonts w:ascii="Arial" w:hAnsi="Arial" w:cs="Arial"/>
          <w:color w:val="auto"/>
          <w:sz w:val="24"/>
          <w:szCs w:val="24"/>
          <w:u w:val="single"/>
          <w:lang w:val="en-GB"/>
        </w:rPr>
        <w:fldChar w:fldCharType="end"/>
      </w:r>
      <w:bookmarkEnd w:id="13"/>
      <w:r w:rsidRPr="00883FC0">
        <w:rPr>
          <w:rFonts w:ascii="Arial" w:hAnsi="Arial" w:cs="Arial"/>
          <w:b w:val="0"/>
          <w:color w:val="auto"/>
          <w:sz w:val="24"/>
          <w:szCs w:val="24"/>
          <w:u w:val="single"/>
          <w:lang w:val="en-GB"/>
        </w:rPr>
        <w:t> </w:t>
      </w:r>
      <w:r w:rsidRPr="00883FC0">
        <w:rPr>
          <w:rFonts w:ascii="Arial" w:hAnsi="Arial" w:cs="Arial"/>
          <w:b w:val="0"/>
          <w:iCs/>
          <w:color w:val="auto"/>
          <w:sz w:val="24"/>
          <w:szCs w:val="24"/>
          <w:u w:val="single"/>
          <w:lang w:val="en-GB"/>
        </w:rPr>
        <w:t xml:space="preserve">: </w:t>
      </w:r>
      <w:r w:rsidR="007C7D21" w:rsidRPr="007C7D21">
        <w:rPr>
          <w:rFonts w:ascii="Arial" w:hAnsi="Arial" w:cs="Arial"/>
          <w:b w:val="0"/>
          <w:iCs/>
          <w:color w:val="auto"/>
          <w:sz w:val="24"/>
          <w:szCs w:val="24"/>
          <w:highlight w:val="yellow"/>
          <w:u w:val="single"/>
          <w:lang w:val="en-GB"/>
        </w:rPr>
        <w:t>Sampling</w:t>
      </w:r>
      <w:r w:rsidR="007C7D21">
        <w:rPr>
          <w:rFonts w:ascii="Arial" w:hAnsi="Arial" w:cs="Arial"/>
          <w:b w:val="0"/>
          <w:iCs/>
          <w:color w:val="auto"/>
          <w:sz w:val="24"/>
          <w:szCs w:val="24"/>
          <w:u w:val="single"/>
          <w:lang w:val="en-GB"/>
        </w:rPr>
        <w:t xml:space="preserve"> </w:t>
      </w:r>
      <w:r w:rsidRPr="00883FC0">
        <w:rPr>
          <w:rFonts w:ascii="Arial" w:hAnsi="Arial" w:cs="Arial"/>
          <w:b w:val="0"/>
          <w:iCs/>
          <w:color w:val="auto"/>
          <w:sz w:val="24"/>
          <w:szCs w:val="24"/>
          <w:u w:val="single"/>
          <w:lang w:val="en-GB"/>
        </w:rPr>
        <w:t xml:space="preserve">period and number of </w:t>
      </w:r>
      <w:r w:rsidR="0024743B" w:rsidRPr="00883FC0">
        <w:rPr>
          <w:rFonts w:ascii="Arial" w:hAnsi="Arial" w:cs="Arial"/>
          <w:b w:val="0"/>
          <w:iCs/>
          <w:color w:val="auto"/>
          <w:sz w:val="24"/>
          <w:szCs w:val="24"/>
          <w:u w:val="single"/>
          <w:lang w:val="en-GB"/>
        </w:rPr>
        <w:t>ibex and sheep</w:t>
      </w:r>
      <w:r w:rsidR="007C7D21">
        <w:rPr>
          <w:rFonts w:ascii="Arial" w:hAnsi="Arial" w:cs="Arial"/>
          <w:b w:val="0"/>
          <w:iCs/>
          <w:color w:val="auto"/>
          <w:sz w:val="24"/>
          <w:szCs w:val="24"/>
          <w:u w:val="single"/>
          <w:lang w:val="en-GB"/>
        </w:rPr>
        <w:t xml:space="preserve"> </w:t>
      </w:r>
      <w:r w:rsidR="007C7D21" w:rsidRPr="007C7D21">
        <w:rPr>
          <w:rFonts w:ascii="Arial" w:hAnsi="Arial" w:cs="Arial"/>
          <w:b w:val="0"/>
          <w:iCs/>
          <w:color w:val="auto"/>
          <w:sz w:val="24"/>
          <w:szCs w:val="24"/>
          <w:highlight w:val="yellow"/>
          <w:u w:val="single"/>
          <w:lang w:val="en-GB"/>
        </w:rPr>
        <w:t>feces</w:t>
      </w:r>
      <w:r w:rsidRPr="00883FC0">
        <w:rPr>
          <w:rFonts w:ascii="Arial" w:hAnsi="Arial" w:cs="Arial"/>
          <w:b w:val="0"/>
          <w:iCs/>
          <w:color w:val="auto"/>
          <w:sz w:val="24"/>
          <w:szCs w:val="24"/>
          <w:u w:val="single"/>
          <w:lang w:val="en-GB"/>
        </w:rPr>
        <w:t xml:space="preserve"> collected in the </w:t>
      </w:r>
      <w:r w:rsidR="007C7D21" w:rsidRPr="007C7D21">
        <w:rPr>
          <w:rFonts w:ascii="Arial" w:hAnsi="Arial" w:cs="Arial"/>
          <w:b w:val="0"/>
          <w:iCs/>
          <w:color w:val="auto"/>
          <w:sz w:val="24"/>
          <w:szCs w:val="24"/>
          <w:highlight w:val="yellow"/>
          <w:u w:val="single"/>
          <w:lang w:val="en-GB"/>
        </w:rPr>
        <w:t>three mountain areas of the</w:t>
      </w:r>
      <w:r w:rsidR="007C7D21">
        <w:rPr>
          <w:rFonts w:ascii="Arial" w:hAnsi="Arial" w:cs="Arial"/>
          <w:b w:val="0"/>
          <w:iCs/>
          <w:color w:val="auto"/>
          <w:sz w:val="24"/>
          <w:szCs w:val="24"/>
          <w:u w:val="single"/>
          <w:lang w:val="en-GB"/>
        </w:rPr>
        <w:t xml:space="preserve"> </w:t>
      </w:r>
      <w:r w:rsidRPr="00883FC0">
        <w:rPr>
          <w:rFonts w:ascii="Arial" w:hAnsi="Arial" w:cs="Arial"/>
          <w:b w:val="0"/>
          <w:iCs/>
          <w:color w:val="auto"/>
          <w:sz w:val="24"/>
          <w:szCs w:val="24"/>
          <w:u w:val="single"/>
          <w:lang w:val="en-GB"/>
        </w:rPr>
        <w:t xml:space="preserve">French </w:t>
      </w:r>
      <w:r w:rsidR="0024743B" w:rsidRPr="00883FC0">
        <w:rPr>
          <w:rFonts w:ascii="Arial" w:hAnsi="Arial" w:cs="Arial"/>
          <w:b w:val="0"/>
          <w:iCs/>
          <w:color w:val="auto"/>
          <w:sz w:val="24"/>
          <w:szCs w:val="24"/>
          <w:u w:val="single"/>
          <w:lang w:val="en-GB"/>
        </w:rPr>
        <w:t>A</w:t>
      </w:r>
      <w:r w:rsidRPr="00883FC0">
        <w:rPr>
          <w:rFonts w:ascii="Arial" w:hAnsi="Arial" w:cs="Arial"/>
          <w:b w:val="0"/>
          <w:iCs/>
          <w:color w:val="auto"/>
          <w:sz w:val="24"/>
          <w:szCs w:val="24"/>
          <w:u w:val="single"/>
          <w:lang w:val="en-GB"/>
        </w:rPr>
        <w:t>lps.</w:t>
      </w:r>
      <w:r w:rsidRPr="00883FC0">
        <w:rPr>
          <w:rFonts w:ascii="Arial" w:hAnsi="Arial" w:cs="Arial"/>
          <w:b w:val="0"/>
          <w:iCs/>
          <w:color w:val="auto"/>
          <w:sz w:val="24"/>
          <w:szCs w:val="24"/>
          <w:lang w:val="en-GB"/>
        </w:rPr>
        <w:t xml:space="preserve"> Coproscopic results of the gastro-intestinal (GI) nematodes (strongyles)</w:t>
      </w:r>
      <w:r w:rsidR="00801F11" w:rsidRPr="00883FC0">
        <w:rPr>
          <w:rFonts w:ascii="Arial" w:hAnsi="Arial" w:cs="Arial"/>
          <w:b w:val="0"/>
          <w:iCs/>
          <w:color w:val="auto"/>
          <w:sz w:val="24"/>
          <w:szCs w:val="24"/>
          <w:lang w:val="en-GB"/>
        </w:rPr>
        <w:t xml:space="preserve"> in</w:t>
      </w:r>
      <w:r w:rsidRPr="00883FC0">
        <w:rPr>
          <w:rFonts w:ascii="Arial" w:hAnsi="Arial" w:cs="Arial"/>
          <w:b w:val="0"/>
          <w:iCs/>
          <w:color w:val="auto"/>
          <w:sz w:val="24"/>
          <w:szCs w:val="24"/>
          <w:lang w:val="en-GB"/>
        </w:rPr>
        <w:t xml:space="preserve"> eggs </w:t>
      </w:r>
      <w:r w:rsidR="00CD5029" w:rsidRPr="00883FC0">
        <w:rPr>
          <w:rFonts w:ascii="Arial" w:hAnsi="Arial" w:cs="Arial"/>
          <w:b w:val="0"/>
          <w:iCs/>
          <w:color w:val="auto"/>
          <w:sz w:val="24"/>
          <w:szCs w:val="24"/>
          <w:lang w:val="en-GB"/>
        </w:rPr>
        <w:t>per gram (</w:t>
      </w:r>
      <w:proofErr w:type="spellStart"/>
      <w:r w:rsidR="00CD5029" w:rsidRPr="00883FC0">
        <w:rPr>
          <w:rFonts w:ascii="Arial" w:hAnsi="Arial" w:cs="Arial"/>
          <w:b w:val="0"/>
          <w:iCs/>
          <w:color w:val="auto"/>
          <w:sz w:val="24"/>
          <w:szCs w:val="24"/>
          <w:lang w:val="en-GB"/>
        </w:rPr>
        <w:t>epg</w:t>
      </w:r>
      <w:proofErr w:type="spellEnd"/>
      <w:r w:rsidR="00CD5029" w:rsidRPr="00883FC0">
        <w:rPr>
          <w:rFonts w:ascii="Arial" w:hAnsi="Arial" w:cs="Arial"/>
          <w:b w:val="0"/>
          <w:iCs/>
          <w:color w:val="auto"/>
          <w:sz w:val="24"/>
          <w:szCs w:val="24"/>
          <w:lang w:val="en-GB"/>
        </w:rPr>
        <w:t>)</w:t>
      </w:r>
      <w:r w:rsidR="00801F11" w:rsidRPr="00883FC0">
        <w:rPr>
          <w:rFonts w:ascii="Arial" w:hAnsi="Arial" w:cs="Arial"/>
          <w:b w:val="0"/>
          <w:iCs/>
          <w:color w:val="auto"/>
          <w:sz w:val="24"/>
          <w:szCs w:val="24"/>
          <w:lang w:val="en-GB"/>
        </w:rPr>
        <w:t xml:space="preserve"> of feces</w:t>
      </w:r>
      <w:r w:rsidR="00CD5029" w:rsidRPr="00883FC0">
        <w:rPr>
          <w:rFonts w:ascii="Arial" w:hAnsi="Arial" w:cs="Arial"/>
          <w:b w:val="0"/>
          <w:iCs/>
          <w:color w:val="auto"/>
          <w:sz w:val="24"/>
          <w:szCs w:val="24"/>
          <w:lang w:val="en-GB"/>
        </w:rPr>
        <w:t xml:space="preserve"> </w:t>
      </w:r>
      <w:r w:rsidRPr="00883FC0">
        <w:rPr>
          <w:rFonts w:ascii="Arial" w:hAnsi="Arial" w:cs="Arial"/>
          <w:b w:val="0"/>
          <w:iCs/>
          <w:color w:val="auto"/>
          <w:sz w:val="24"/>
          <w:szCs w:val="24"/>
          <w:lang w:val="en-GB"/>
        </w:rPr>
        <w:t>are also reported (med</w:t>
      </w:r>
      <w:r w:rsidR="00801F11" w:rsidRPr="00883FC0">
        <w:rPr>
          <w:rFonts w:ascii="Arial" w:hAnsi="Arial" w:cs="Arial"/>
          <w:b w:val="0"/>
          <w:iCs/>
          <w:color w:val="auto"/>
          <w:sz w:val="24"/>
          <w:szCs w:val="24"/>
          <w:lang w:val="en-GB"/>
        </w:rPr>
        <w:t>ian</w:t>
      </w:r>
      <w:r w:rsidRPr="00883FC0">
        <w:rPr>
          <w:rFonts w:ascii="Arial" w:hAnsi="Arial" w:cs="Arial"/>
          <w:b w:val="0"/>
          <w:iCs/>
          <w:color w:val="auto"/>
          <w:sz w:val="24"/>
          <w:szCs w:val="24"/>
          <w:lang w:val="en-GB"/>
        </w:rPr>
        <w:t xml:space="preserve">[min-max]). </w:t>
      </w:r>
      <w:bookmarkEnd w:id="14"/>
    </w:p>
    <w:tbl>
      <w:tblPr>
        <w:tblStyle w:val="Tableausimple3"/>
        <w:tblW w:w="5000" w:type="pct"/>
        <w:tblCellMar>
          <w:left w:w="28" w:type="dxa"/>
          <w:right w:w="28" w:type="dxa"/>
        </w:tblCellMar>
        <w:tblLook w:val="04A0" w:firstRow="1" w:lastRow="0" w:firstColumn="1" w:lastColumn="0" w:noHBand="0" w:noVBand="1"/>
      </w:tblPr>
      <w:tblGrid>
        <w:gridCol w:w="2066"/>
        <w:gridCol w:w="3179"/>
        <w:gridCol w:w="1559"/>
        <w:gridCol w:w="2268"/>
      </w:tblGrid>
      <w:tr w:rsidR="007C7D21" w:rsidRPr="00883FC0" w14:paraId="22A29B92" w14:textId="77777777" w:rsidTr="00040D46">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139" w:type="pct"/>
            <w:tcBorders>
              <w:top w:val="single" w:sz="4" w:space="0" w:color="auto"/>
              <w:bottom w:val="single" w:sz="4" w:space="0" w:color="auto"/>
            </w:tcBorders>
            <w:shd w:val="clear" w:color="auto" w:fill="auto"/>
          </w:tcPr>
          <w:p w14:paraId="6719B755" w14:textId="77777777" w:rsidR="007C7D21" w:rsidRPr="00883FC0" w:rsidRDefault="007C7D21" w:rsidP="00040D46">
            <w:pPr>
              <w:spacing w:line="360" w:lineRule="auto"/>
              <w:rPr>
                <w:rFonts w:ascii="Arial" w:hAnsi="Arial" w:cs="Arial"/>
                <w:b w:val="0"/>
                <w:iCs/>
                <w:color w:val="000000"/>
                <w:lang w:val="en-US"/>
              </w:rPr>
            </w:pPr>
          </w:p>
        </w:tc>
        <w:tc>
          <w:tcPr>
            <w:tcW w:w="1752" w:type="pct"/>
            <w:tcBorders>
              <w:top w:val="single" w:sz="4" w:space="0" w:color="auto"/>
              <w:bottom w:val="single" w:sz="4" w:space="0" w:color="auto"/>
            </w:tcBorders>
          </w:tcPr>
          <w:p w14:paraId="609B2C17" w14:textId="77777777" w:rsidR="007C7D21" w:rsidRPr="00883FC0" w:rsidRDefault="007C7D21" w:rsidP="00040D4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lang w:val="en-US"/>
              </w:rPr>
            </w:pPr>
            <w:r w:rsidRPr="00883FC0">
              <w:rPr>
                <w:rFonts w:ascii="Arial" w:hAnsi="Arial" w:cs="Arial"/>
                <w:b w:val="0"/>
                <w:iCs/>
                <w:caps w:val="0"/>
                <w:color w:val="000000"/>
                <w:lang w:val="en-US"/>
              </w:rPr>
              <w:t>Sampling date</w:t>
            </w:r>
          </w:p>
        </w:tc>
        <w:tc>
          <w:tcPr>
            <w:tcW w:w="859" w:type="pct"/>
            <w:tcBorders>
              <w:top w:val="single" w:sz="4" w:space="0" w:color="auto"/>
              <w:bottom w:val="single" w:sz="4" w:space="0" w:color="auto"/>
            </w:tcBorders>
            <w:shd w:val="clear" w:color="auto" w:fill="auto"/>
          </w:tcPr>
          <w:p w14:paraId="3BF763FE" w14:textId="77777777" w:rsidR="007C7D21" w:rsidRPr="00883FC0" w:rsidRDefault="007C7D21" w:rsidP="00040D4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lang w:val="en-US"/>
              </w:rPr>
            </w:pPr>
            <w:r w:rsidRPr="00883FC0">
              <w:rPr>
                <w:rFonts w:ascii="Arial" w:hAnsi="Arial" w:cs="Arial"/>
                <w:b w:val="0"/>
                <w:iCs/>
                <w:color w:val="000000"/>
                <w:lang w:val="en-US"/>
              </w:rPr>
              <w:t>N</w:t>
            </w:r>
          </w:p>
        </w:tc>
        <w:tc>
          <w:tcPr>
            <w:tcW w:w="1250" w:type="pct"/>
            <w:tcBorders>
              <w:top w:val="single" w:sz="4" w:space="0" w:color="auto"/>
              <w:bottom w:val="single" w:sz="4" w:space="0" w:color="auto"/>
            </w:tcBorders>
            <w:shd w:val="clear" w:color="auto" w:fill="auto"/>
          </w:tcPr>
          <w:p w14:paraId="1CC3E7DC" w14:textId="77777777" w:rsidR="007C7D21" w:rsidRPr="00883FC0" w:rsidRDefault="007C7D21" w:rsidP="00040D4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lang w:val="en-US"/>
              </w:rPr>
            </w:pPr>
            <w:r w:rsidRPr="00883FC0">
              <w:rPr>
                <w:rFonts w:ascii="Arial" w:hAnsi="Arial" w:cs="Arial"/>
                <w:b w:val="0"/>
                <w:iCs/>
                <w:caps w:val="0"/>
                <w:color w:val="000000"/>
                <w:lang w:val="en-US"/>
              </w:rPr>
              <w:t xml:space="preserve">GI nematodes </w:t>
            </w:r>
            <w:proofErr w:type="spellStart"/>
            <w:r w:rsidRPr="00883FC0">
              <w:rPr>
                <w:rFonts w:ascii="Arial" w:hAnsi="Arial" w:cs="Arial"/>
                <w:b w:val="0"/>
                <w:iCs/>
                <w:caps w:val="0"/>
                <w:color w:val="000000"/>
                <w:lang w:val="en-US"/>
              </w:rPr>
              <w:t>epg</w:t>
            </w:r>
            <w:proofErr w:type="spellEnd"/>
          </w:p>
        </w:tc>
      </w:tr>
      <w:tr w:rsidR="007C7D21" w:rsidRPr="00883FC0" w14:paraId="7D9A7B69" w14:textId="77777777" w:rsidTr="00040D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none" w:sz="0" w:space="0" w:color="auto"/>
            </w:tcBorders>
            <w:shd w:val="clear" w:color="auto" w:fill="D9D9D9" w:themeFill="background1" w:themeFillShade="D9"/>
          </w:tcPr>
          <w:p w14:paraId="5336EFCD" w14:textId="77777777" w:rsidR="007C7D21" w:rsidRPr="00883FC0" w:rsidRDefault="007C7D21" w:rsidP="00040D46">
            <w:pPr>
              <w:spacing w:line="360" w:lineRule="auto"/>
              <w:rPr>
                <w:rFonts w:ascii="Arial" w:hAnsi="Arial" w:cs="Arial"/>
                <w:iCs/>
                <w:color w:val="000000"/>
                <w:lang w:val="en-US"/>
              </w:rPr>
            </w:pPr>
            <w:r w:rsidRPr="00883FC0">
              <w:rPr>
                <w:rFonts w:ascii="Arial" w:hAnsi="Arial" w:cs="Arial"/>
                <w:iCs/>
                <w:caps w:val="0"/>
                <w:color w:val="000000"/>
                <w:lang w:val="en-US"/>
              </w:rPr>
              <w:t>Belledonne mountain</w:t>
            </w:r>
          </w:p>
        </w:tc>
      </w:tr>
      <w:tr w:rsidR="007C7D21" w:rsidRPr="00883FC0" w14:paraId="79127146" w14:textId="77777777" w:rsidTr="00040D46">
        <w:trPr>
          <w:trHeight w:val="283"/>
        </w:trPr>
        <w:tc>
          <w:tcPr>
            <w:cnfStyle w:val="001000000000" w:firstRow="0" w:lastRow="0" w:firstColumn="1" w:lastColumn="0" w:oddVBand="0" w:evenVBand="0" w:oddHBand="0" w:evenHBand="0" w:firstRowFirstColumn="0" w:firstRowLastColumn="0" w:lastRowFirstColumn="0" w:lastRowLastColumn="0"/>
            <w:tcW w:w="1139" w:type="pct"/>
            <w:tcBorders>
              <w:right w:val="none" w:sz="0" w:space="0" w:color="auto"/>
            </w:tcBorders>
            <w:shd w:val="clear" w:color="auto" w:fill="auto"/>
          </w:tcPr>
          <w:p w14:paraId="2A7D7996" w14:textId="77777777" w:rsidR="007C7D21" w:rsidRPr="00883FC0" w:rsidRDefault="007C7D21" w:rsidP="00040D46">
            <w:pPr>
              <w:spacing w:line="360" w:lineRule="auto"/>
              <w:rPr>
                <w:rFonts w:ascii="Arial" w:hAnsi="Arial" w:cs="Arial"/>
                <w:b w:val="0"/>
                <w:iCs/>
                <w:color w:val="000000"/>
                <w:lang w:val="en-US"/>
              </w:rPr>
            </w:pPr>
            <w:r w:rsidRPr="00883FC0">
              <w:rPr>
                <w:rFonts w:ascii="Arial" w:hAnsi="Arial" w:cs="Arial"/>
                <w:b w:val="0"/>
                <w:iCs/>
                <w:caps w:val="0"/>
                <w:color w:val="000000"/>
                <w:lang w:val="en-US"/>
              </w:rPr>
              <w:lastRenderedPageBreak/>
              <w:t>Sheep</w:t>
            </w:r>
          </w:p>
        </w:tc>
        <w:tc>
          <w:tcPr>
            <w:tcW w:w="1752" w:type="pct"/>
            <w:shd w:val="clear" w:color="auto" w:fill="auto"/>
          </w:tcPr>
          <w:p w14:paraId="2AAE2E82"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July 2019</w:t>
            </w:r>
          </w:p>
        </w:tc>
        <w:tc>
          <w:tcPr>
            <w:tcW w:w="859" w:type="pct"/>
            <w:shd w:val="clear" w:color="auto" w:fill="auto"/>
          </w:tcPr>
          <w:p w14:paraId="773B01D9"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AB: 15</w:t>
            </w:r>
          </w:p>
          <w:p w14:paraId="2DC2CCC2"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LP: 15</w:t>
            </w:r>
          </w:p>
          <w:p w14:paraId="2535E9BF"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SL: 15</w:t>
            </w:r>
          </w:p>
        </w:tc>
        <w:tc>
          <w:tcPr>
            <w:tcW w:w="1250" w:type="pct"/>
            <w:shd w:val="clear" w:color="auto" w:fill="auto"/>
          </w:tcPr>
          <w:p w14:paraId="205511DD"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AB: 30 [0-90]</w:t>
            </w:r>
          </w:p>
          <w:p w14:paraId="7A9B1E14"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LP: 7.5 [0-165]</w:t>
            </w:r>
          </w:p>
          <w:p w14:paraId="2BDDDA74"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SL: 0 [0-30]</w:t>
            </w:r>
          </w:p>
        </w:tc>
      </w:tr>
      <w:tr w:rsidR="007C7D21" w:rsidRPr="00883FC0" w14:paraId="6FF63AA9" w14:textId="77777777" w:rsidTr="00040D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390822A" w14:textId="77777777" w:rsidR="007C7D21" w:rsidRPr="00883FC0" w:rsidRDefault="007C7D21" w:rsidP="00040D46">
            <w:pPr>
              <w:spacing w:line="360" w:lineRule="auto"/>
              <w:rPr>
                <w:rFonts w:ascii="Arial" w:hAnsi="Arial" w:cs="Arial"/>
                <w:b w:val="0"/>
                <w:iCs/>
                <w:color w:val="000000"/>
                <w:lang w:val="en-US"/>
              </w:rPr>
            </w:pPr>
            <w:r w:rsidRPr="00883FC0">
              <w:rPr>
                <w:rFonts w:ascii="Arial" w:hAnsi="Arial" w:cs="Arial"/>
                <w:b w:val="0"/>
                <w:iCs/>
                <w:caps w:val="0"/>
                <w:color w:val="000000"/>
                <w:lang w:val="en-US"/>
              </w:rPr>
              <w:t>Ibex</w:t>
            </w:r>
          </w:p>
        </w:tc>
        <w:tc>
          <w:tcPr>
            <w:tcW w:w="0" w:type="pct"/>
            <w:shd w:val="clear" w:color="auto" w:fill="auto"/>
          </w:tcPr>
          <w:p w14:paraId="69DE6949"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July 2018 and May-June 2019</w:t>
            </w:r>
          </w:p>
        </w:tc>
        <w:tc>
          <w:tcPr>
            <w:tcW w:w="0" w:type="pct"/>
            <w:shd w:val="clear" w:color="auto" w:fill="auto"/>
          </w:tcPr>
          <w:p w14:paraId="147A022B"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80</w:t>
            </w:r>
          </w:p>
        </w:tc>
        <w:tc>
          <w:tcPr>
            <w:tcW w:w="0" w:type="pct"/>
            <w:shd w:val="clear" w:color="auto" w:fill="auto"/>
          </w:tcPr>
          <w:p w14:paraId="27B1EDA2"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15 [0-525]</w:t>
            </w:r>
          </w:p>
        </w:tc>
      </w:tr>
      <w:tr w:rsidR="007C7D21" w:rsidRPr="00883FC0" w14:paraId="2061E681" w14:textId="77777777" w:rsidTr="00040D46">
        <w:trPr>
          <w:trHeight w:val="283"/>
        </w:trPr>
        <w:tc>
          <w:tcPr>
            <w:cnfStyle w:val="001000000000" w:firstRow="0" w:lastRow="0" w:firstColumn="1" w:lastColumn="0" w:oddVBand="0" w:evenVBand="0" w:oddHBand="0" w:evenHBand="0" w:firstRowFirstColumn="0" w:firstRowLastColumn="0" w:lastRowFirstColumn="0" w:lastRowLastColumn="0"/>
            <w:tcW w:w="0" w:type="pct"/>
            <w:gridSpan w:val="4"/>
            <w:tcBorders>
              <w:right w:val="none" w:sz="0" w:space="0" w:color="auto"/>
            </w:tcBorders>
            <w:shd w:val="clear" w:color="auto" w:fill="D9D9D9" w:themeFill="background1" w:themeFillShade="D9"/>
          </w:tcPr>
          <w:p w14:paraId="54356B4A" w14:textId="77777777" w:rsidR="007C7D21" w:rsidRPr="00883FC0" w:rsidRDefault="007C7D21" w:rsidP="00040D46">
            <w:pPr>
              <w:spacing w:line="360" w:lineRule="auto"/>
              <w:rPr>
                <w:rFonts w:ascii="Arial" w:hAnsi="Arial" w:cs="Arial"/>
                <w:iCs/>
                <w:color w:val="000000"/>
                <w:lang w:val="en-US"/>
              </w:rPr>
            </w:pPr>
            <w:r w:rsidRPr="00883FC0">
              <w:rPr>
                <w:rFonts w:ascii="Arial" w:hAnsi="Arial" w:cs="Arial"/>
                <w:iCs/>
                <w:caps w:val="0"/>
                <w:color w:val="000000"/>
                <w:lang w:val="en-US"/>
              </w:rPr>
              <w:t>Cerces mountain</w:t>
            </w:r>
          </w:p>
        </w:tc>
      </w:tr>
      <w:tr w:rsidR="007C7D21" w:rsidRPr="00883FC0" w14:paraId="513366F2" w14:textId="77777777" w:rsidTr="00040D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9" w:type="pct"/>
            <w:tcBorders>
              <w:right w:val="none" w:sz="0" w:space="0" w:color="auto"/>
            </w:tcBorders>
            <w:shd w:val="clear" w:color="auto" w:fill="auto"/>
          </w:tcPr>
          <w:p w14:paraId="66D49690" w14:textId="77777777" w:rsidR="007C7D21" w:rsidRPr="00883FC0" w:rsidRDefault="007C7D21" w:rsidP="00040D46">
            <w:pPr>
              <w:spacing w:line="360" w:lineRule="auto"/>
              <w:rPr>
                <w:rFonts w:ascii="Arial" w:hAnsi="Arial" w:cs="Arial"/>
                <w:b w:val="0"/>
                <w:iCs/>
                <w:color w:val="000000"/>
                <w:lang w:val="en-US"/>
              </w:rPr>
            </w:pPr>
            <w:r w:rsidRPr="00883FC0">
              <w:rPr>
                <w:rFonts w:ascii="Arial" w:hAnsi="Arial" w:cs="Arial"/>
                <w:b w:val="0"/>
                <w:iCs/>
                <w:caps w:val="0"/>
                <w:color w:val="000000"/>
                <w:lang w:val="en-US"/>
              </w:rPr>
              <w:t>Sheep</w:t>
            </w:r>
          </w:p>
        </w:tc>
        <w:tc>
          <w:tcPr>
            <w:tcW w:w="1752" w:type="pct"/>
            <w:shd w:val="clear" w:color="auto" w:fill="auto"/>
          </w:tcPr>
          <w:p w14:paraId="04A0F8E5"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June 2019</w:t>
            </w:r>
          </w:p>
        </w:tc>
        <w:tc>
          <w:tcPr>
            <w:tcW w:w="859" w:type="pct"/>
            <w:shd w:val="clear" w:color="auto" w:fill="auto"/>
          </w:tcPr>
          <w:p w14:paraId="2E790FDB"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AL: 15</w:t>
            </w:r>
          </w:p>
          <w:p w14:paraId="756213E8"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MO: 15</w:t>
            </w:r>
          </w:p>
        </w:tc>
        <w:tc>
          <w:tcPr>
            <w:tcW w:w="1250" w:type="pct"/>
            <w:shd w:val="clear" w:color="auto" w:fill="auto"/>
          </w:tcPr>
          <w:p w14:paraId="4EA292D5"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AL: 7.5 [0-60]</w:t>
            </w:r>
          </w:p>
          <w:p w14:paraId="4DE7D06B"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MO: 7.5 [0-225]</w:t>
            </w:r>
          </w:p>
        </w:tc>
      </w:tr>
      <w:tr w:rsidR="007C7D21" w:rsidRPr="00883FC0" w14:paraId="627C8AA0" w14:textId="77777777" w:rsidTr="00040D46">
        <w:trPr>
          <w:trHeight w:val="283"/>
        </w:trPr>
        <w:tc>
          <w:tcPr>
            <w:cnfStyle w:val="001000000000" w:firstRow="0" w:lastRow="0" w:firstColumn="1" w:lastColumn="0" w:oddVBand="0" w:evenVBand="0" w:oddHBand="0" w:evenHBand="0" w:firstRowFirstColumn="0" w:firstRowLastColumn="0" w:lastRowFirstColumn="0" w:lastRowLastColumn="0"/>
            <w:tcW w:w="1139" w:type="pct"/>
            <w:tcBorders>
              <w:right w:val="none" w:sz="0" w:space="0" w:color="auto"/>
            </w:tcBorders>
            <w:shd w:val="clear" w:color="auto" w:fill="auto"/>
          </w:tcPr>
          <w:p w14:paraId="3C013618" w14:textId="77777777" w:rsidR="007C7D21" w:rsidRPr="00883FC0" w:rsidRDefault="007C7D21" w:rsidP="00040D46">
            <w:pPr>
              <w:spacing w:line="360" w:lineRule="auto"/>
              <w:rPr>
                <w:rFonts w:ascii="Arial" w:hAnsi="Arial" w:cs="Arial"/>
                <w:b w:val="0"/>
                <w:iCs/>
                <w:color w:val="000000"/>
                <w:lang w:val="en-US"/>
              </w:rPr>
            </w:pPr>
            <w:r w:rsidRPr="00883FC0">
              <w:rPr>
                <w:rFonts w:ascii="Arial" w:hAnsi="Arial" w:cs="Arial"/>
                <w:b w:val="0"/>
                <w:iCs/>
                <w:caps w:val="0"/>
                <w:color w:val="000000"/>
                <w:lang w:val="en-US"/>
              </w:rPr>
              <w:t>Ibex</w:t>
            </w:r>
          </w:p>
        </w:tc>
        <w:tc>
          <w:tcPr>
            <w:tcW w:w="1752" w:type="pct"/>
            <w:shd w:val="clear" w:color="auto" w:fill="auto"/>
          </w:tcPr>
          <w:p w14:paraId="15850AF1"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AL: May-June 2019</w:t>
            </w:r>
          </w:p>
          <w:p w14:paraId="2C017952"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MO: May 2019</w:t>
            </w:r>
          </w:p>
        </w:tc>
        <w:tc>
          <w:tcPr>
            <w:tcW w:w="859" w:type="pct"/>
            <w:shd w:val="clear" w:color="auto" w:fill="auto"/>
          </w:tcPr>
          <w:p w14:paraId="4F981A5A"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AL: 29</w:t>
            </w:r>
          </w:p>
          <w:p w14:paraId="1937C730"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MO: 18</w:t>
            </w:r>
          </w:p>
        </w:tc>
        <w:tc>
          <w:tcPr>
            <w:tcW w:w="1250" w:type="pct"/>
            <w:shd w:val="clear" w:color="auto" w:fill="auto"/>
          </w:tcPr>
          <w:p w14:paraId="0BE143C6"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AL: 7.5 [0-30]</w:t>
            </w:r>
          </w:p>
          <w:p w14:paraId="5BF1B368"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MO: 7.5 [0-60]</w:t>
            </w:r>
          </w:p>
        </w:tc>
      </w:tr>
      <w:tr w:rsidR="007C7D21" w:rsidRPr="00883FC0" w14:paraId="2C328386" w14:textId="77777777" w:rsidTr="00040D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none" w:sz="0" w:space="0" w:color="auto"/>
            </w:tcBorders>
            <w:shd w:val="clear" w:color="auto" w:fill="D9D9D9" w:themeFill="background1" w:themeFillShade="D9"/>
          </w:tcPr>
          <w:p w14:paraId="5EDF00E7" w14:textId="77777777" w:rsidR="007C7D21" w:rsidRPr="00883FC0" w:rsidRDefault="007C7D21" w:rsidP="00040D46">
            <w:pPr>
              <w:spacing w:line="360" w:lineRule="auto"/>
              <w:rPr>
                <w:rFonts w:ascii="Arial" w:hAnsi="Arial" w:cs="Arial"/>
                <w:iCs/>
                <w:color w:val="000000"/>
                <w:lang w:val="en-US"/>
              </w:rPr>
            </w:pPr>
            <w:r w:rsidRPr="00883FC0">
              <w:rPr>
                <w:rFonts w:ascii="Arial" w:hAnsi="Arial" w:cs="Arial"/>
                <w:iCs/>
                <w:caps w:val="0"/>
                <w:color w:val="000000"/>
                <w:lang w:val="en-US"/>
              </w:rPr>
              <w:t>Champsaur mountain</w:t>
            </w:r>
          </w:p>
        </w:tc>
      </w:tr>
      <w:tr w:rsidR="007C7D21" w:rsidRPr="00883FC0" w14:paraId="669A53EA" w14:textId="77777777" w:rsidTr="00040D46">
        <w:trPr>
          <w:trHeight w:val="283"/>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shd w:val="clear" w:color="auto" w:fill="auto"/>
          </w:tcPr>
          <w:p w14:paraId="28EC6AD9" w14:textId="77777777" w:rsidR="007C7D21" w:rsidRPr="00883FC0" w:rsidRDefault="007C7D21" w:rsidP="00040D46">
            <w:pPr>
              <w:spacing w:line="360" w:lineRule="auto"/>
              <w:rPr>
                <w:rFonts w:ascii="Arial" w:hAnsi="Arial" w:cs="Arial"/>
                <w:b w:val="0"/>
                <w:iCs/>
                <w:color w:val="000000"/>
                <w:lang w:val="en-US"/>
              </w:rPr>
            </w:pPr>
            <w:r w:rsidRPr="00883FC0">
              <w:rPr>
                <w:rFonts w:ascii="Arial" w:hAnsi="Arial" w:cs="Arial"/>
                <w:b w:val="0"/>
                <w:iCs/>
                <w:caps w:val="0"/>
                <w:color w:val="000000"/>
                <w:lang w:val="en-US"/>
              </w:rPr>
              <w:t>Sheep</w:t>
            </w:r>
          </w:p>
        </w:tc>
        <w:tc>
          <w:tcPr>
            <w:tcW w:w="0" w:type="pct"/>
            <w:shd w:val="clear" w:color="auto" w:fill="auto"/>
          </w:tcPr>
          <w:p w14:paraId="10CBBF08"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June 2019</w:t>
            </w:r>
          </w:p>
        </w:tc>
        <w:tc>
          <w:tcPr>
            <w:tcW w:w="0" w:type="pct"/>
            <w:shd w:val="clear" w:color="auto" w:fill="auto"/>
          </w:tcPr>
          <w:p w14:paraId="736C5239"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15</w:t>
            </w:r>
          </w:p>
        </w:tc>
        <w:tc>
          <w:tcPr>
            <w:tcW w:w="0" w:type="pct"/>
            <w:shd w:val="clear" w:color="auto" w:fill="auto"/>
          </w:tcPr>
          <w:p w14:paraId="1D9B3704" w14:textId="77777777" w:rsidR="007C7D21" w:rsidRPr="00883FC0" w:rsidRDefault="007C7D21" w:rsidP="00040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7.5 [0-30]</w:t>
            </w:r>
          </w:p>
        </w:tc>
      </w:tr>
      <w:tr w:rsidR="007C7D21" w:rsidRPr="00883FC0" w14:paraId="38B1255F" w14:textId="77777777" w:rsidTr="00040D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tcPr>
          <w:p w14:paraId="49923271" w14:textId="77777777" w:rsidR="007C7D21" w:rsidRPr="00883FC0" w:rsidRDefault="007C7D21" w:rsidP="00040D46">
            <w:pPr>
              <w:spacing w:line="360" w:lineRule="auto"/>
              <w:rPr>
                <w:rFonts w:ascii="Arial" w:hAnsi="Arial" w:cs="Arial"/>
                <w:b w:val="0"/>
                <w:iCs/>
                <w:color w:val="000000"/>
                <w:lang w:val="en-US"/>
              </w:rPr>
            </w:pPr>
            <w:r w:rsidRPr="00883FC0">
              <w:rPr>
                <w:rFonts w:ascii="Arial" w:hAnsi="Arial" w:cs="Arial"/>
                <w:b w:val="0"/>
                <w:iCs/>
                <w:caps w:val="0"/>
                <w:color w:val="000000"/>
                <w:lang w:val="en-US"/>
              </w:rPr>
              <w:t>Ibex</w:t>
            </w:r>
          </w:p>
        </w:tc>
        <w:tc>
          <w:tcPr>
            <w:tcW w:w="0" w:type="pct"/>
            <w:tcBorders>
              <w:bottom w:val="single" w:sz="4" w:space="0" w:color="auto"/>
            </w:tcBorders>
            <w:shd w:val="clear" w:color="auto" w:fill="auto"/>
          </w:tcPr>
          <w:p w14:paraId="08A5EB40"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May 2019</w:t>
            </w:r>
          </w:p>
        </w:tc>
        <w:tc>
          <w:tcPr>
            <w:tcW w:w="0" w:type="pct"/>
            <w:tcBorders>
              <w:bottom w:val="single" w:sz="4" w:space="0" w:color="auto"/>
            </w:tcBorders>
            <w:shd w:val="clear" w:color="auto" w:fill="auto"/>
          </w:tcPr>
          <w:p w14:paraId="603EB3B1"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40</w:t>
            </w:r>
          </w:p>
        </w:tc>
        <w:tc>
          <w:tcPr>
            <w:tcW w:w="0" w:type="pct"/>
            <w:tcBorders>
              <w:bottom w:val="single" w:sz="4" w:space="0" w:color="auto"/>
            </w:tcBorders>
            <w:shd w:val="clear" w:color="auto" w:fill="auto"/>
          </w:tcPr>
          <w:p w14:paraId="6080650A" w14:textId="77777777" w:rsidR="007C7D21" w:rsidRPr="00883FC0" w:rsidRDefault="007C7D21" w:rsidP="00040D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color w:val="000000"/>
                <w:lang w:val="en-US"/>
              </w:rPr>
            </w:pPr>
            <w:r w:rsidRPr="00883FC0">
              <w:rPr>
                <w:rFonts w:ascii="Arial" w:hAnsi="Arial" w:cs="Arial"/>
                <w:iCs/>
                <w:color w:val="000000"/>
                <w:lang w:val="en-US"/>
              </w:rPr>
              <w:t>7.5 [7.5-105]</w:t>
            </w:r>
          </w:p>
        </w:tc>
      </w:tr>
    </w:tbl>
    <w:p w14:paraId="7EF38733" w14:textId="6C2B0663" w:rsidR="007C7D21" w:rsidRPr="00883FC0" w:rsidRDefault="007C7D21" w:rsidP="007C7D21">
      <w:pPr>
        <w:spacing w:after="0" w:line="360" w:lineRule="auto"/>
        <w:jc w:val="both"/>
        <w:rPr>
          <w:rFonts w:ascii="Arial" w:hAnsi="Arial" w:cs="Arial"/>
          <w:i/>
          <w:iCs/>
          <w:sz w:val="20"/>
          <w:szCs w:val="24"/>
        </w:rPr>
      </w:pPr>
      <w:bookmarkStart w:id="15" w:name="_Hlk172462096"/>
      <w:r w:rsidRPr="00883FC0">
        <w:rPr>
          <w:rFonts w:ascii="Arial" w:hAnsi="Arial" w:cs="Arial"/>
          <w:i/>
          <w:iCs/>
          <w:sz w:val="20"/>
          <w:szCs w:val="24"/>
        </w:rPr>
        <w:t xml:space="preserve">Belledonne : </w:t>
      </w:r>
      <w:proofErr w:type="gramStart"/>
      <w:r w:rsidR="00E70626" w:rsidRPr="00883FC0">
        <w:rPr>
          <w:rFonts w:ascii="Arial" w:hAnsi="Arial" w:cs="Arial"/>
          <w:i/>
          <w:iCs/>
          <w:sz w:val="20"/>
          <w:szCs w:val="24"/>
        </w:rPr>
        <w:t>AB:</w:t>
      </w:r>
      <w:proofErr w:type="gramEnd"/>
      <w:r w:rsidRPr="00883FC0">
        <w:rPr>
          <w:rFonts w:ascii="Arial" w:hAnsi="Arial" w:cs="Arial"/>
          <w:i/>
          <w:iCs/>
          <w:sz w:val="20"/>
          <w:szCs w:val="24"/>
        </w:rPr>
        <w:t xml:space="preserve"> Ane </w:t>
      </w:r>
      <w:proofErr w:type="spellStart"/>
      <w:r w:rsidRPr="00883FC0">
        <w:rPr>
          <w:rFonts w:ascii="Arial" w:hAnsi="Arial" w:cs="Arial"/>
          <w:i/>
          <w:iCs/>
          <w:sz w:val="20"/>
          <w:szCs w:val="24"/>
        </w:rPr>
        <w:t>Buyant</w:t>
      </w:r>
      <w:proofErr w:type="spellEnd"/>
      <w:r w:rsidRPr="00883FC0">
        <w:rPr>
          <w:rFonts w:ascii="Arial" w:hAnsi="Arial" w:cs="Arial"/>
          <w:i/>
          <w:iCs/>
          <w:sz w:val="20"/>
          <w:szCs w:val="24"/>
        </w:rPr>
        <w:t xml:space="preserve">, LP: La Pesée and SL: Sept </w:t>
      </w:r>
      <w:proofErr w:type="spellStart"/>
      <w:r w:rsidRPr="00883FC0">
        <w:rPr>
          <w:rFonts w:ascii="Arial" w:hAnsi="Arial" w:cs="Arial"/>
          <w:i/>
          <w:iCs/>
          <w:sz w:val="20"/>
          <w:szCs w:val="24"/>
        </w:rPr>
        <w:t>Laux</w:t>
      </w:r>
      <w:proofErr w:type="spellEnd"/>
      <w:r w:rsidRPr="00883FC0">
        <w:rPr>
          <w:rFonts w:ascii="Arial" w:hAnsi="Arial" w:cs="Arial"/>
          <w:i/>
          <w:iCs/>
          <w:sz w:val="20"/>
          <w:szCs w:val="24"/>
        </w:rPr>
        <w:t>.</w:t>
      </w:r>
      <w:r>
        <w:rPr>
          <w:rFonts w:ascii="Arial" w:hAnsi="Arial" w:cs="Arial"/>
          <w:i/>
          <w:iCs/>
          <w:sz w:val="20"/>
          <w:szCs w:val="24"/>
        </w:rPr>
        <w:t xml:space="preserve"> </w:t>
      </w:r>
      <w:r w:rsidRPr="00883FC0">
        <w:rPr>
          <w:rFonts w:ascii="Arial" w:hAnsi="Arial" w:cs="Arial"/>
          <w:i/>
          <w:iCs/>
          <w:sz w:val="20"/>
          <w:szCs w:val="24"/>
        </w:rPr>
        <w:t xml:space="preserve">Cerces : </w:t>
      </w:r>
      <w:proofErr w:type="gramStart"/>
      <w:r w:rsidR="00E70626" w:rsidRPr="00883FC0">
        <w:rPr>
          <w:rFonts w:ascii="Arial" w:hAnsi="Arial" w:cs="Arial"/>
          <w:i/>
          <w:iCs/>
          <w:sz w:val="20"/>
          <w:szCs w:val="24"/>
        </w:rPr>
        <w:t>AL:</w:t>
      </w:r>
      <w:proofErr w:type="gramEnd"/>
      <w:r w:rsidRPr="00883FC0">
        <w:rPr>
          <w:rFonts w:ascii="Arial" w:hAnsi="Arial" w:cs="Arial"/>
          <w:i/>
          <w:iCs/>
          <w:sz w:val="20"/>
          <w:szCs w:val="24"/>
        </w:rPr>
        <w:t xml:space="preserve"> Aiguillette de </w:t>
      </w:r>
      <w:proofErr w:type="spellStart"/>
      <w:r w:rsidRPr="00883FC0">
        <w:rPr>
          <w:rFonts w:ascii="Arial" w:hAnsi="Arial" w:cs="Arial"/>
          <w:i/>
          <w:iCs/>
          <w:sz w:val="20"/>
          <w:szCs w:val="24"/>
        </w:rPr>
        <w:t>Lauzet</w:t>
      </w:r>
      <w:proofErr w:type="spellEnd"/>
      <w:r w:rsidRPr="00883FC0">
        <w:rPr>
          <w:rFonts w:ascii="Arial" w:hAnsi="Arial" w:cs="Arial"/>
          <w:i/>
          <w:iCs/>
          <w:sz w:val="20"/>
          <w:szCs w:val="24"/>
        </w:rPr>
        <w:t xml:space="preserve">, and </w:t>
      </w:r>
      <w:r w:rsidR="00E70626" w:rsidRPr="00883FC0">
        <w:rPr>
          <w:rFonts w:ascii="Arial" w:hAnsi="Arial" w:cs="Arial"/>
          <w:i/>
          <w:iCs/>
          <w:sz w:val="20"/>
          <w:szCs w:val="24"/>
        </w:rPr>
        <w:t>MO:</w:t>
      </w:r>
      <w:r w:rsidRPr="00883FC0">
        <w:rPr>
          <w:rFonts w:ascii="Arial" w:hAnsi="Arial" w:cs="Arial"/>
          <w:i/>
          <w:iCs/>
          <w:sz w:val="20"/>
          <w:szCs w:val="24"/>
        </w:rPr>
        <w:t xml:space="preserve"> Montagne de l’Oule</w:t>
      </w:r>
      <w:r w:rsidR="00E70626">
        <w:rPr>
          <w:rFonts w:ascii="Arial" w:hAnsi="Arial" w:cs="Arial"/>
          <w:i/>
          <w:iCs/>
          <w:sz w:val="20"/>
          <w:szCs w:val="24"/>
        </w:rPr>
        <w:t>.</w:t>
      </w:r>
    </w:p>
    <w:bookmarkEnd w:id="15"/>
    <w:p w14:paraId="33A0498D" w14:textId="77777777" w:rsidR="0024743B" w:rsidRPr="00883FC0" w:rsidRDefault="0024743B" w:rsidP="00A0712B">
      <w:pPr>
        <w:spacing w:after="0" w:line="360" w:lineRule="auto"/>
        <w:jc w:val="both"/>
        <w:rPr>
          <w:rFonts w:ascii="Arial" w:hAnsi="Arial" w:cs="Arial"/>
          <w:iCs/>
          <w:color w:val="000000"/>
        </w:rPr>
      </w:pPr>
    </w:p>
    <w:p w14:paraId="22320D84"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bookmarkStart w:id="16" w:name="_Toc129193241"/>
      <w:r w:rsidRPr="00883FC0">
        <w:rPr>
          <w:rFonts w:ascii="Arial" w:hAnsi="Arial" w:cs="Arial"/>
          <w:i/>
          <w:color w:val="000000" w:themeColor="text1"/>
          <w:sz w:val="28"/>
          <w:szCs w:val="24"/>
          <w:lang w:val="en-US"/>
        </w:rPr>
        <w:t>Parasitological analyses</w:t>
      </w:r>
      <w:bookmarkEnd w:id="16"/>
    </w:p>
    <w:p w14:paraId="753D40F0" w14:textId="77777777" w:rsidR="006463F4" w:rsidRPr="00883FC0" w:rsidRDefault="006463F4" w:rsidP="00A0712B">
      <w:pPr>
        <w:spacing w:after="0" w:line="360" w:lineRule="auto"/>
        <w:rPr>
          <w:rFonts w:ascii="Arial" w:hAnsi="Arial" w:cs="Arial"/>
          <w:sz w:val="24"/>
          <w:szCs w:val="24"/>
          <w:lang w:val="en-US"/>
        </w:rPr>
      </w:pPr>
    </w:p>
    <w:p w14:paraId="01F46A0E" w14:textId="128C222B" w:rsidR="00AE11A3" w:rsidRPr="00883FC0" w:rsidRDefault="00685709" w:rsidP="00A0712B">
      <w:pPr>
        <w:pStyle w:val="NormalWeb"/>
        <w:spacing w:before="0" w:beforeAutospacing="0" w:after="0" w:afterAutospacing="0" w:line="360" w:lineRule="auto"/>
        <w:ind w:firstLine="708"/>
        <w:jc w:val="both"/>
        <w:rPr>
          <w:rFonts w:ascii="Arial" w:hAnsi="Arial" w:cs="Arial"/>
          <w:color w:val="000000"/>
          <w:lang w:val="en-GB"/>
        </w:rPr>
      </w:pPr>
      <w:r w:rsidRPr="00883FC0">
        <w:rPr>
          <w:rFonts w:ascii="Arial" w:hAnsi="Arial" w:cs="Arial"/>
          <w:color w:val="000000"/>
          <w:lang w:val="en-GB"/>
        </w:rPr>
        <w:t>The number of gastro-intestinal nematode eggs per gram of feces (</w:t>
      </w:r>
      <w:proofErr w:type="spellStart"/>
      <w:r w:rsidRPr="00883FC0">
        <w:rPr>
          <w:rFonts w:ascii="Arial" w:hAnsi="Arial" w:cs="Arial"/>
          <w:color w:val="000000"/>
          <w:lang w:val="en-GB"/>
        </w:rPr>
        <w:t>epg</w:t>
      </w:r>
      <w:proofErr w:type="spellEnd"/>
      <w:r w:rsidRPr="00883FC0">
        <w:rPr>
          <w:rFonts w:ascii="Arial" w:hAnsi="Arial" w:cs="Arial"/>
          <w:color w:val="000000"/>
          <w:lang w:val="en-GB"/>
        </w:rPr>
        <w:t xml:space="preserve">) was counted following a modified McMaster protocol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{"citationID":"50vQX0G0","properties":{"formattedCitation":"(Raynaud et al., 1970)","plainCitation":"(Raynaud et al., 1970)","noteIndex":0},"citationItems":[{"id":1039,"uris":["http://zotero.org/users/local/NciqjDvn/items/BU4UDJ8T"],"itemData":{"id":1039,"type":"article-journal","abstract":"Nous avons démontré chez les bovins, ovins, caprins, porcins et equins, que la technique de coproscopie que nous pratiquons est :&lt;i&gt;polyvalente&lt;i/&gt; (elle détecte toutes les formes parasitaires éliminées : Cestodes, Trématodes, Nématodes, œufs ou larves), &lt;i&gt;simple&lt;i/&gt; (un seul prélèvement de 5 g de matières fécales est manipulé) &lt;i&gt;rapide&lt;i/&gt; et &lt;i&gt;relativement peu onéreuse&lt;i/&gt; (car le liquide cher, l’Iodo Mercurate de K est partiellement récupéré), &lt;i&gt;précise&lt;i/&gt; (car l’utilisation de la lame de Mac Master le permet), enfin, &lt;i&gt;sensible&lt;i/&gt;, car le seuil avec la lame de Mac Master est amélioré par l’&lt;i&gt;examen simultané sur la même suspension préparée&lt;i/&gt; d’une lame de flottaison.Il s’agit de coproscopie quantitative en lame de Mac Master, dont le coefficient de multiplication peut être de X 15. Ce seuil est abaissé par l’examen complémentaire d’une lame de flottaison qui apporte une information qualitative.Nous avons démontré que, sauf pour le cheval chez lequel la solution dense peut être le &lt;i&gt;SO&lt;i/&gt;&lt;sub&gt;4&lt;sub/&gt; &lt;i&gt;Mg&lt;i/&gt;, dans toutes les autres espèces (bovins, ovins, caprins, porcins), il est recommandé d’utiliser l’&lt;i&gt;Iodo Mercurate de K&lt;i/&gt;.Cette technique est aussi bien conseillée pour les examens de routine précis que pour le contrôle quantitatif rigoureux.","container-title":"Annales de Parasitologie Humaine et Comparée","DOI":"10.1051/parasite/1970453321","ISSN":"0003-4150","issue":"3","journalAbbreviation":"Ann Parasitol Hum Comp","language":"fr","license":"© Masson, Paris 1970, transferred to Société Française de Parasitologie","page":"321-342","source":"www.parasite-journal.org","title":"Etude de l’efficacité d’une technique de coproscopie quantitative pour le diagnostic de routine et le contrôle des infestations parasitaires des bovins, ovins, équins et porcins","volume":"45","author":[{"family":"Raynaud","given":"J.-P."},{"family":"William","given":"G."},{"family":"Brunault","given":"G."}],"issued":{"date-parts":[["1970"]]}}}],"schema":"https://github.com/citation-style-language/schema/raw/master/csl-citation.json"}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(Raynaud et al., 1970)</w:t>
      </w:r>
      <w:r w:rsidRPr="00883FC0">
        <w:rPr>
          <w:rFonts w:ascii="Arial" w:hAnsi="Arial" w:cs="Arial"/>
          <w:color w:val="000000"/>
          <w:lang w:val="en-GB"/>
        </w:rPr>
        <w:fldChar w:fldCharType="end"/>
      </w:r>
      <w:r w:rsidR="00AE11A3" w:rsidRPr="00883FC0">
        <w:rPr>
          <w:rFonts w:ascii="Arial" w:hAnsi="Arial" w:cs="Arial"/>
          <w:color w:val="000000"/>
          <w:lang w:val="en-GB"/>
        </w:rPr>
        <w:t xml:space="preserve"> </w:t>
      </w:r>
      <w:bookmarkStart w:id="17" w:name="_Hlk158572775"/>
      <w:r w:rsidR="008150EF" w:rsidRPr="00883FC0">
        <w:rPr>
          <w:rFonts w:ascii="Arial" w:hAnsi="Arial" w:cs="Arial"/>
          <w:color w:val="000000"/>
          <w:lang w:val="en-GB"/>
        </w:rPr>
        <w:t>with a solution of zinc sulphate (ZnSO</w:t>
      </w:r>
      <w:r w:rsidR="008150EF" w:rsidRPr="00883FC0">
        <w:rPr>
          <w:rFonts w:ascii="Arial" w:hAnsi="Arial" w:cs="Arial"/>
          <w:color w:val="000000"/>
          <w:vertAlign w:val="subscript"/>
          <w:lang w:val="en-GB"/>
        </w:rPr>
        <w:t>4</w:t>
      </w:r>
      <w:r w:rsidR="008150EF" w:rsidRPr="00883FC0">
        <w:rPr>
          <w:rFonts w:ascii="Arial" w:hAnsi="Arial" w:cs="Arial"/>
          <w:color w:val="000000"/>
          <w:lang w:val="en-GB"/>
        </w:rPr>
        <w:t>, density = 1.36, 1/15 dilution). The eggs were counted on a McMaster slide with two chambers (theoretical sensitivity of 15 epg). We also checked for the presence of low abundant parasite propagules with a</w:t>
      </w:r>
      <w:r w:rsidR="00C15471" w:rsidRPr="00883FC0">
        <w:rPr>
          <w:rFonts w:ascii="Arial" w:hAnsi="Arial" w:cs="Arial"/>
          <w:color w:val="000000"/>
          <w:lang w:val="en-GB"/>
        </w:rPr>
        <w:t xml:space="preserve"> </w:t>
      </w:r>
      <w:r w:rsidR="006C6E35" w:rsidRPr="00883FC0">
        <w:rPr>
          <w:rFonts w:ascii="Arial" w:hAnsi="Arial" w:cs="Arial"/>
          <w:color w:val="000000"/>
          <w:lang w:val="en-GB"/>
        </w:rPr>
        <w:t xml:space="preserve">“control slide”. We prepared this control slide with a 14mL tube filled with the remaining solution until a meniscus is formed. We covered the tube with a coverslip and </w:t>
      </w:r>
      <w:r w:rsidR="006C6E35" w:rsidRPr="002D0E01">
        <w:rPr>
          <w:rFonts w:ascii="Arial" w:hAnsi="Arial" w:cs="Arial"/>
          <w:color w:val="000000"/>
          <w:highlight w:val="yellow"/>
          <w:lang w:val="en-GB"/>
        </w:rPr>
        <w:t>centrifuge</w:t>
      </w:r>
      <w:r w:rsidR="002D0E01" w:rsidRPr="002D0E01">
        <w:rPr>
          <w:rFonts w:ascii="Arial" w:hAnsi="Arial" w:cs="Arial"/>
          <w:color w:val="000000"/>
          <w:highlight w:val="yellow"/>
          <w:lang w:val="en-GB"/>
        </w:rPr>
        <w:t>d</w:t>
      </w:r>
      <w:r w:rsidR="006C6E35" w:rsidRPr="00883FC0">
        <w:rPr>
          <w:rFonts w:ascii="Arial" w:hAnsi="Arial" w:cs="Arial"/>
          <w:color w:val="000000"/>
          <w:lang w:val="en-GB"/>
        </w:rPr>
        <w:t xml:space="preserve"> the tube with a basket centrifuge (5 min at 1200 rpm) to help propagules to rise and stick on the coverslip. After centrifugation, the coverslip was transferred </w:t>
      </w:r>
      <w:r w:rsidR="006C6E35" w:rsidRPr="002D0E01">
        <w:rPr>
          <w:rFonts w:ascii="Arial" w:hAnsi="Arial" w:cs="Arial"/>
          <w:color w:val="000000"/>
          <w:highlight w:val="yellow"/>
          <w:lang w:val="en-GB"/>
        </w:rPr>
        <w:t>on</w:t>
      </w:r>
      <w:r w:rsidR="002D0E01" w:rsidRPr="002D0E01">
        <w:rPr>
          <w:rFonts w:ascii="Arial" w:hAnsi="Arial" w:cs="Arial"/>
          <w:color w:val="000000"/>
          <w:highlight w:val="yellow"/>
          <w:lang w:val="en-GB"/>
        </w:rPr>
        <w:t>to</w:t>
      </w:r>
      <w:r w:rsidR="006C6E35" w:rsidRPr="00883FC0">
        <w:rPr>
          <w:rFonts w:ascii="Arial" w:hAnsi="Arial" w:cs="Arial"/>
          <w:color w:val="000000"/>
          <w:lang w:val="en-GB"/>
        </w:rPr>
        <w:t xml:space="preserve"> a microscope slide for microscopical observation</w:t>
      </w:r>
      <w:r w:rsidR="008150EF" w:rsidRPr="00883FC0">
        <w:rPr>
          <w:rFonts w:ascii="Arial" w:hAnsi="Arial" w:cs="Arial"/>
          <w:color w:val="000000"/>
          <w:lang w:val="en-GB"/>
        </w:rPr>
        <w:t>. We attributed the value of 7.5 epg for parasites with no egg observed on the McMaster, but at least one egg observed on the control slide (for a similar procedure see Beaumelle et al, 2021).</w:t>
      </w:r>
      <w:bookmarkEnd w:id="17"/>
    </w:p>
    <w:p w14:paraId="719F725B" w14:textId="697C3820" w:rsidR="00A0712B" w:rsidRPr="00883FC0" w:rsidRDefault="00AE11A3" w:rsidP="00A0712B">
      <w:pPr>
        <w:pStyle w:val="NormalWeb"/>
        <w:spacing w:before="0" w:beforeAutospacing="0" w:after="0" w:afterAutospacing="0" w:line="360" w:lineRule="auto"/>
        <w:ind w:firstLine="708"/>
        <w:jc w:val="both"/>
        <w:rPr>
          <w:rFonts w:ascii="Arial" w:hAnsi="Arial" w:cs="Arial"/>
          <w:color w:val="000000"/>
          <w:lang w:val="en-GB"/>
        </w:rPr>
      </w:pPr>
      <w:r w:rsidRPr="00883FC0">
        <w:rPr>
          <w:rFonts w:ascii="Arial" w:hAnsi="Arial" w:cs="Arial"/>
          <w:color w:val="000000"/>
          <w:lang w:val="en-GB"/>
        </w:rPr>
        <w:t xml:space="preserve">In </w:t>
      </w:r>
      <w:r w:rsidR="00685709" w:rsidRPr="00883FC0">
        <w:rPr>
          <w:rFonts w:ascii="Arial" w:hAnsi="Arial" w:cs="Arial"/>
          <w:color w:val="000000"/>
          <w:lang w:val="en-GB"/>
        </w:rPr>
        <w:t xml:space="preserve">order </w:t>
      </w:r>
      <w:r w:rsidR="0024743B" w:rsidRPr="00883FC0">
        <w:rPr>
          <w:rFonts w:ascii="Arial" w:hAnsi="Arial" w:cs="Arial"/>
          <w:color w:val="000000"/>
          <w:lang w:val="en-GB"/>
        </w:rPr>
        <w:t>for</w:t>
      </w:r>
      <w:r w:rsidR="00685709" w:rsidRPr="00883FC0">
        <w:rPr>
          <w:rFonts w:ascii="Arial" w:hAnsi="Arial" w:cs="Arial"/>
          <w:color w:val="000000"/>
          <w:lang w:val="en-GB"/>
        </w:rPr>
        <w:t xml:space="preserve"> strongyles </w:t>
      </w:r>
      <w:r w:rsidR="0024743B" w:rsidRPr="00883FC0">
        <w:rPr>
          <w:rFonts w:ascii="Arial" w:hAnsi="Arial" w:cs="Arial"/>
          <w:color w:val="000000"/>
          <w:lang w:val="en-GB"/>
        </w:rPr>
        <w:t xml:space="preserve">to </w:t>
      </w:r>
      <w:r w:rsidR="00685709" w:rsidRPr="00883FC0">
        <w:rPr>
          <w:rFonts w:ascii="Arial" w:hAnsi="Arial" w:cs="Arial"/>
          <w:color w:val="000000"/>
          <w:lang w:val="en-GB"/>
        </w:rPr>
        <w:t xml:space="preserve">reach the L3 stage, </w:t>
      </w:r>
      <w:proofErr w:type="spellStart"/>
      <w:r w:rsidR="00685709" w:rsidRPr="00883FC0">
        <w:rPr>
          <w:rFonts w:ascii="Arial" w:hAnsi="Arial" w:cs="Arial"/>
          <w:color w:val="000000"/>
          <w:lang w:val="en-GB"/>
        </w:rPr>
        <w:t>coprocultures</w:t>
      </w:r>
      <w:proofErr w:type="spellEnd"/>
      <w:r w:rsidR="00685709" w:rsidRPr="00883FC0">
        <w:rPr>
          <w:rFonts w:ascii="Arial" w:hAnsi="Arial" w:cs="Arial"/>
          <w:color w:val="000000"/>
          <w:lang w:val="en-GB"/>
        </w:rPr>
        <w:t xml:space="preserve"> of feces were done at 24 ± 1 °C during 12-15 days with regular mixing and moistening. </w:t>
      </w:r>
      <w:r w:rsidRPr="00883FC0">
        <w:rPr>
          <w:rFonts w:ascii="Arial" w:hAnsi="Arial" w:cs="Arial"/>
          <w:color w:val="000000"/>
          <w:lang w:val="en-GB"/>
        </w:rPr>
        <w:t>We then</w:t>
      </w:r>
      <w:r w:rsidR="00685709" w:rsidRPr="00883FC0">
        <w:rPr>
          <w:rFonts w:ascii="Arial" w:hAnsi="Arial" w:cs="Arial"/>
          <w:color w:val="000000"/>
          <w:lang w:val="en-GB"/>
        </w:rPr>
        <w:t xml:space="preserve"> collect</w:t>
      </w:r>
      <w:r w:rsidRPr="00883FC0">
        <w:rPr>
          <w:rFonts w:ascii="Arial" w:hAnsi="Arial" w:cs="Arial"/>
          <w:color w:val="000000"/>
          <w:lang w:val="en-GB"/>
        </w:rPr>
        <w:t>ed</w:t>
      </w:r>
      <w:r w:rsidR="00685709" w:rsidRPr="00883FC0">
        <w:rPr>
          <w:rFonts w:ascii="Arial" w:hAnsi="Arial" w:cs="Arial"/>
          <w:color w:val="000000"/>
          <w:lang w:val="en-GB"/>
        </w:rPr>
        <w:t xml:space="preserve"> </w:t>
      </w:r>
      <w:r w:rsidRPr="00883FC0">
        <w:rPr>
          <w:rFonts w:ascii="Arial" w:hAnsi="Arial" w:cs="Arial"/>
          <w:color w:val="000000"/>
          <w:lang w:val="en-GB"/>
        </w:rPr>
        <w:t xml:space="preserve">the </w:t>
      </w:r>
      <w:r w:rsidR="00685709" w:rsidRPr="00883FC0">
        <w:rPr>
          <w:rFonts w:ascii="Arial" w:hAnsi="Arial" w:cs="Arial"/>
          <w:color w:val="000000"/>
          <w:lang w:val="en-GB"/>
        </w:rPr>
        <w:t xml:space="preserve">L3 in tape water with a Baermann apparatus. We extracted gastrointestinal nematode DNA from samples for which there were at least 20 L3 and we limited the extraction to ~200 L3. DNA was extracted using </w:t>
      </w:r>
      <w:r w:rsidR="0024743B" w:rsidRPr="00883FC0">
        <w:rPr>
          <w:rFonts w:ascii="Arial" w:hAnsi="Arial" w:cs="Arial"/>
          <w:color w:val="000000"/>
          <w:lang w:val="en-GB"/>
        </w:rPr>
        <w:t xml:space="preserve">an </w:t>
      </w:r>
      <w:r w:rsidR="00685709" w:rsidRPr="00883FC0">
        <w:rPr>
          <w:rFonts w:ascii="Arial" w:hAnsi="Arial" w:cs="Arial"/>
          <w:color w:val="000000"/>
          <w:lang w:val="en-GB"/>
        </w:rPr>
        <w:t>extraction kit (Qiagen DNeasy</w:t>
      </w:r>
      <w:r w:rsidR="00685709" w:rsidRPr="00883FC0">
        <w:rPr>
          <w:rFonts w:ascii="Arial" w:hAnsi="Arial" w:cs="Arial"/>
          <w:color w:val="000000"/>
          <w:vertAlign w:val="superscript"/>
          <w:lang w:val="en-GB"/>
        </w:rPr>
        <w:t xml:space="preserve">® </w:t>
      </w:r>
      <w:r w:rsidR="00685709" w:rsidRPr="00883FC0">
        <w:rPr>
          <w:rFonts w:ascii="Arial" w:hAnsi="Arial" w:cs="Arial"/>
          <w:color w:val="000000"/>
          <w:lang w:val="en-GB"/>
        </w:rPr>
        <w:t xml:space="preserve">PowerSoil) following the manufacturer’s instruction with an elution volume of 50 </w:t>
      </w:r>
      <w:proofErr w:type="spellStart"/>
      <w:r w:rsidR="00685709" w:rsidRPr="00883FC0">
        <w:rPr>
          <w:rFonts w:ascii="Arial" w:hAnsi="Arial" w:cs="Arial"/>
          <w:color w:val="000000"/>
          <w:lang w:val="en-GB"/>
        </w:rPr>
        <w:t>μl</w:t>
      </w:r>
      <w:proofErr w:type="spellEnd"/>
      <w:r w:rsidR="00685709" w:rsidRPr="00883FC0">
        <w:rPr>
          <w:rFonts w:ascii="Arial" w:hAnsi="Arial" w:cs="Arial"/>
          <w:color w:val="000000"/>
          <w:lang w:val="en-GB"/>
        </w:rPr>
        <w:t xml:space="preserve"> of </w:t>
      </w:r>
      <w:r w:rsidR="00685709" w:rsidRPr="00883FC0">
        <w:rPr>
          <w:rFonts w:ascii="Arial" w:hAnsi="Arial" w:cs="Arial"/>
          <w:color w:val="000000"/>
          <w:lang w:val="en-GB"/>
        </w:rPr>
        <w:lastRenderedPageBreak/>
        <w:t xml:space="preserve">water. We extracted the DNA of 30 randomly chosen samples </w:t>
      </w:r>
      <w:r w:rsidR="0024743B" w:rsidRPr="00883FC0">
        <w:rPr>
          <w:rFonts w:ascii="Arial" w:hAnsi="Arial" w:cs="Arial"/>
          <w:color w:val="000000"/>
          <w:lang w:val="en-GB"/>
        </w:rPr>
        <w:t xml:space="preserve">twice </w:t>
      </w:r>
      <w:r w:rsidR="00685709" w:rsidRPr="00883FC0">
        <w:rPr>
          <w:rFonts w:ascii="Arial" w:hAnsi="Arial" w:cs="Arial"/>
          <w:color w:val="000000"/>
          <w:lang w:val="en-GB"/>
        </w:rPr>
        <w:t>as internal extraction controls</w:t>
      </w:r>
      <w:r w:rsidR="00D936CA" w:rsidRPr="00883FC0">
        <w:rPr>
          <w:rFonts w:ascii="Arial" w:hAnsi="Arial" w:cs="Arial"/>
          <w:color w:val="000000"/>
          <w:lang w:val="en-GB"/>
        </w:rPr>
        <w:t xml:space="preserve"> </w:t>
      </w:r>
      <w:r w:rsidR="00D936CA" w:rsidRPr="00883FC0">
        <w:rPr>
          <w:rFonts w:ascii="Arial" w:hAnsi="Arial" w:cs="Arial"/>
          <w:color w:val="000000"/>
          <w:lang w:val="en-GB"/>
        </w:rPr>
        <w:fldChar w:fldCharType="begin"/>
      </w:r>
      <w:r w:rsidR="00A36BEF" w:rsidRPr="00883FC0">
        <w:rPr>
          <w:rFonts w:ascii="Arial" w:hAnsi="Arial" w:cs="Arial"/>
          <w:color w:val="000000"/>
          <w:lang w:val="en-GB"/>
        </w:rPr>
        <w:instrText xml:space="preserve"> ADDIN ZOTERO_ITEM CSL_CITATION {"citationID":"HuARnOFl","properties":{"formattedCitation":"(Taberlet et al., 2018)","plainCitation":"(Taberlet et al., 2018)","noteIndex":0},"citationItems":[{"id":"hYqkjRdb/ohg3ifEA","uris":["http://zotero.org/users/local/NciqjDvn/items/M288QIV8"],"itemData":{"id":"28LqKEv4/TEfqmMJW","type":"book","abstract":"Environmental DNA (eDNA) refers to DNA that can be extracted from environmental samples (such as soil, water, feces, or air) without the prior isolation of any target organism. The analysis of environmental DNA has the potential of providing high-throughput information on taxa and functionalgenes in a given environment, and is easily amenable to the study of both aquatic and terrestrial ecosystems. It can provide an understanding of past or present biological communities as well as their trophic relationships, and can thus offer useful insights into ecosystem functioning. There is nowa rapidly-growing interest amongst biologists in applying analysis of environmental DNA to their own research. However, good practices and protocols dealing with environmental DNA are currently widely dispersed across numerous papers, with many of them presenting only preliminary results and using adiversity of methods. In this context, the principal objective of this practical handbook is to provide biologists (both students and researchers) with the scientific background necessary to assist with the understanding and implementation of best practices and analyses based on environmentalDNA.","event-place":"Oxford, UK","ISBN":"978-0-19-876722-0","language":"en","note":"Google-Books-ID: 1e9IDwAAQBAJ","number-of-pages":"268","publisher":"Oxford University Press","publisher-place":"Oxford, UK","source":"Google Books","title":"Environmental DNA: for biodiversity research and monitoring","title-short":"Environmental DNA","author":[{"family":"Taberlet","given":"Pierre"},{"family":"Bonin","given":"Aurélie"},{"family":"Zinger","given":"Lucie"},{"family":"Coissac","given":"Eric"}],"issued":{"date-parts":[["2018"]]}}}],"schema":"https://github.com/citation-style-language/schema/raw/master/csl-citation.json"} </w:instrText>
      </w:r>
      <w:r w:rsidR="00D936CA" w:rsidRPr="00883FC0">
        <w:rPr>
          <w:rFonts w:ascii="Arial" w:hAnsi="Arial" w:cs="Arial"/>
          <w:color w:val="000000"/>
          <w:lang w:val="en-GB"/>
        </w:rPr>
        <w:fldChar w:fldCharType="separate"/>
      </w:r>
      <w:r w:rsidR="005F5967" w:rsidRPr="00883FC0">
        <w:rPr>
          <w:rFonts w:ascii="Arial" w:hAnsi="Arial" w:cs="Arial"/>
          <w:lang w:val="en-US"/>
        </w:rPr>
        <w:t>(Taberlet et al., 2018)</w:t>
      </w:r>
      <w:r w:rsidR="00D936CA" w:rsidRPr="00883FC0">
        <w:rPr>
          <w:rFonts w:ascii="Arial" w:hAnsi="Arial" w:cs="Arial"/>
          <w:color w:val="000000"/>
          <w:lang w:val="en-GB"/>
        </w:rPr>
        <w:fldChar w:fldCharType="end"/>
      </w:r>
      <w:r w:rsidR="00685709" w:rsidRPr="00883FC0">
        <w:rPr>
          <w:rFonts w:ascii="Arial" w:hAnsi="Arial" w:cs="Arial"/>
          <w:color w:val="000000"/>
          <w:lang w:val="en-GB"/>
        </w:rPr>
        <w:t xml:space="preserve">. We quantified </w:t>
      </w:r>
      <w:r w:rsidR="0024743B" w:rsidRPr="00883FC0">
        <w:rPr>
          <w:rFonts w:ascii="Arial" w:hAnsi="Arial" w:cs="Arial"/>
          <w:color w:val="000000"/>
          <w:lang w:val="en-GB"/>
        </w:rPr>
        <w:t xml:space="preserve">the </w:t>
      </w:r>
      <w:r w:rsidR="00685709" w:rsidRPr="00883FC0">
        <w:rPr>
          <w:rFonts w:ascii="Arial" w:hAnsi="Arial" w:cs="Arial"/>
          <w:color w:val="000000"/>
          <w:lang w:val="en-GB"/>
        </w:rPr>
        <w:t>DNA concentration for all samples using</w:t>
      </w:r>
      <w:r w:rsidR="002D0E01">
        <w:rPr>
          <w:rFonts w:ascii="Arial" w:hAnsi="Arial" w:cs="Arial"/>
          <w:color w:val="000000"/>
          <w:lang w:val="en-GB"/>
        </w:rPr>
        <w:t xml:space="preserve"> </w:t>
      </w:r>
      <w:r w:rsidR="002D0E01" w:rsidRPr="002D0E01">
        <w:rPr>
          <w:rFonts w:ascii="Arial" w:hAnsi="Arial" w:cs="Arial"/>
          <w:color w:val="000000"/>
          <w:highlight w:val="yellow"/>
          <w:lang w:val="en-GB"/>
        </w:rPr>
        <w:t>a</w:t>
      </w:r>
      <w:r w:rsidR="00685709" w:rsidRPr="00883FC0">
        <w:rPr>
          <w:rFonts w:ascii="Arial" w:hAnsi="Arial" w:cs="Arial"/>
          <w:color w:val="000000"/>
          <w:lang w:val="en-GB"/>
        </w:rPr>
        <w:t xml:space="preserve"> Qubit 2.0 fluorometer (Life Technologies) and homogenized DNA samples to a DNA concentration of 1ng/</w:t>
      </w:r>
      <w:proofErr w:type="spellStart"/>
      <w:r w:rsidR="00685709" w:rsidRPr="00883FC0">
        <w:rPr>
          <w:rFonts w:ascii="Arial" w:hAnsi="Arial" w:cs="Arial"/>
          <w:color w:val="000000"/>
          <w:lang w:val="en-GB"/>
        </w:rPr>
        <w:t>μl</w:t>
      </w:r>
      <w:proofErr w:type="spellEnd"/>
      <w:r w:rsidR="00685709" w:rsidRPr="00883FC0">
        <w:rPr>
          <w:rFonts w:ascii="Arial" w:hAnsi="Arial" w:cs="Arial"/>
          <w:color w:val="000000"/>
          <w:lang w:val="en-GB"/>
        </w:rPr>
        <w:t xml:space="preserve"> (DNA samples were not diluted if the DNA concentration was &lt;1 ng/µl).</w:t>
      </w:r>
    </w:p>
    <w:p w14:paraId="14CFE98C" w14:textId="77777777" w:rsidR="00A0712B" w:rsidRPr="00883FC0" w:rsidRDefault="00A0712B" w:rsidP="00A0712B">
      <w:pPr>
        <w:pStyle w:val="NormalWeb"/>
        <w:spacing w:before="0" w:beforeAutospacing="0" w:after="0" w:afterAutospacing="0" w:line="360" w:lineRule="auto"/>
        <w:jc w:val="both"/>
        <w:rPr>
          <w:rFonts w:ascii="Arial" w:hAnsi="Arial" w:cs="Arial"/>
          <w:color w:val="000000"/>
          <w:lang w:val="en-GB"/>
        </w:rPr>
      </w:pPr>
    </w:p>
    <w:p w14:paraId="76CA637A"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bookmarkStart w:id="18" w:name="_Toc129193242"/>
      <w:r w:rsidRPr="00883FC0">
        <w:rPr>
          <w:rFonts w:ascii="Arial" w:hAnsi="Arial" w:cs="Arial"/>
          <w:i/>
          <w:color w:val="000000" w:themeColor="text1"/>
          <w:sz w:val="28"/>
          <w:szCs w:val="24"/>
          <w:lang w:val="en-US"/>
        </w:rPr>
        <w:t>High throughput sequencing analyses</w:t>
      </w:r>
      <w:bookmarkEnd w:id="18"/>
    </w:p>
    <w:p w14:paraId="4D574704" w14:textId="77777777" w:rsidR="006463F4" w:rsidRPr="00883FC0" w:rsidRDefault="006463F4" w:rsidP="00A0712B">
      <w:pPr>
        <w:spacing w:after="0" w:line="360" w:lineRule="auto"/>
        <w:rPr>
          <w:rFonts w:ascii="Arial" w:hAnsi="Arial" w:cs="Arial"/>
          <w:sz w:val="24"/>
          <w:szCs w:val="24"/>
          <w:lang w:val="en-US"/>
        </w:rPr>
      </w:pPr>
    </w:p>
    <w:p w14:paraId="00E7B32C" w14:textId="7837DEF0" w:rsidR="001E1EA8" w:rsidRPr="00883FC0" w:rsidRDefault="00685709" w:rsidP="00A0712B">
      <w:pPr>
        <w:pStyle w:val="NormalWeb"/>
        <w:spacing w:before="0" w:beforeAutospacing="0" w:after="0" w:afterAutospacing="0" w:line="360" w:lineRule="auto"/>
        <w:ind w:firstLine="708"/>
        <w:jc w:val="both"/>
        <w:rPr>
          <w:rFonts w:ascii="Arial" w:hAnsi="Arial" w:cs="Arial"/>
          <w:lang w:val="en-GB"/>
        </w:rPr>
      </w:pPr>
      <w:r w:rsidRPr="00883FC0">
        <w:rPr>
          <w:rFonts w:ascii="Arial" w:hAnsi="Arial" w:cs="Arial"/>
          <w:color w:val="000000"/>
          <w:lang w:val="en-GB"/>
        </w:rPr>
        <w:t>To determine the nemabiome of sheep and ibex</w:t>
      </w:r>
      <w:r w:rsidR="0024743B" w:rsidRPr="00883FC0">
        <w:rPr>
          <w:rFonts w:ascii="Arial" w:hAnsi="Arial" w:cs="Arial"/>
          <w:color w:val="000000"/>
          <w:lang w:val="en-GB"/>
        </w:rPr>
        <w:t>,</w:t>
      </w:r>
      <w:r w:rsidRPr="00883FC0">
        <w:rPr>
          <w:rFonts w:ascii="Arial" w:hAnsi="Arial" w:cs="Arial"/>
          <w:color w:val="000000"/>
          <w:lang w:val="en-GB"/>
        </w:rPr>
        <w:t xml:space="preserve"> we used a modified version of the protocol developed by </w:t>
      </w:r>
      <w:r w:rsidRPr="00883FC0">
        <w:rPr>
          <w:rFonts w:ascii="Arial" w:hAnsi="Arial" w:cs="Arial"/>
          <w:color w:val="000000"/>
          <w:lang w:val="en-GB"/>
        </w:rPr>
        <w:fldChar w:fldCharType="begin"/>
      </w:r>
      <w:r w:rsidRPr="00883FC0">
        <w:rPr>
          <w:rFonts w:ascii="Arial" w:hAnsi="Arial" w:cs="Arial"/>
          <w:color w:val="000000"/>
          <w:lang w:val="en-GB"/>
        </w:rPr>
        <w:instrText xml:space="preserve"> ADDIN ZOTERO_ITEM CSL_CITATION {"citationID":"fPZgbKJn","properties":{"formattedCitation":"(Avramenko et al., 2015)","plainCitation":"(Avramenko et al., 2015)","dontUpdate":true,"noteIndex":0},"citationItems":[{"id":581,"uris":["http://zotero.org/users/local/NciqjDvn/items/TFPSWHDT"],"itemData":{"id":581,"type":"article-journal","abstract":"Parasitic helminth infections have a considerable impact on global human health as well as animal welfare and production. Although co-infection with multiple parasite species within a host is common, there is a dearth of tools with which to study the composition of these complex parasite communities. Helminth species vary in their pathogenicity, epidemiology and drug sensitivity and the interactions that occur between co-infecting species and their hosts are poorly understood. We describe the first application of deep amplicon sequencing to study parasitic nematode communities as well as introduce the concept of the gastro-intestinal “nemabiome”. The approach is analogous to 16S rDNA deep sequencing used to explore microbial communities, but utilizes the nematode ITS-2 rDNA locus instead. Gastro-intestinal parasites of cattle were used to develop the concept, as this host has many well-defined gastro-intestinal nematode species that commonly occur as complex co-infections. Further, the availability of pure mono-parasite populations from experimentally infected cattle allowed us to prepare mock parasite communities to determine, and correct for, species representation biases in the sequence data. We demonstrate that, once these biases have been corrected, accurate relative quantitation of gastro-intestinal parasitic nematode communities in cattle fecal samples can be achieved. We have validated the accuracy of the method applied to field-samples by comparing the results of detailed morphological examination of L3 larvae populations with those of the sequencing assay. The results illustrate the insights that can be gained into the species composition of parasite communities, using grazing cattle in the mid-west USA as an example. However, both the technical approach and the concept of the ‘nemabiome’ have a wide range of potential applications in human and veterinary medicine. These include investigations of host-parasite and parasite-parasite interactions during co-infection, parasite epidemiology, parasite ecology and the response of parasite populations to both drug treatments and control programs.","container-title":"PLoS One","DOI":"10.1371/journal.pone.0143559","ISSN":"1932-6203","journalAbbreviation":"PLoS One","language":"en","page":"e0143559","source":"PLoS Journals","title":"Exploring the gastrointestinal “Nemabiome”: deep amplicon sequencing to quantify the species composition of parasitic nematode communities","title-short":"Exploring the Gastrointestinal “Nemabiome”","volume":"10(12)","author":[{"family":"Avramenko","given":"Russell W."},{"family":"Redman","given":"Elizabeth M."},{"family":"Lewis","given":"Roy"},{"family":"Yazwinski","given":"Thomas A."},{"family":"Wasmuth","given":"James D."},{"family":"Gilleard","given":"John S."}],"issued":{"date-parts":[["2015",12,2]]}}}],"schema":"https://github.com/citation-style-language/schema/raw/master/csl-citation.json"} </w:instrText>
      </w:r>
      <w:r w:rsidRPr="00883FC0">
        <w:rPr>
          <w:rFonts w:ascii="Arial" w:hAnsi="Arial" w:cs="Arial"/>
          <w:color w:val="000000"/>
          <w:lang w:val="en-GB"/>
        </w:rPr>
        <w:fldChar w:fldCharType="separate"/>
      </w:r>
      <w:r w:rsidRPr="00883FC0">
        <w:rPr>
          <w:rFonts w:ascii="Arial" w:hAnsi="Arial" w:cs="Arial"/>
          <w:lang w:val="en-GB"/>
        </w:rPr>
        <w:t>Avramenko et al (2015</w:t>
      </w:r>
      <w:r w:rsidRPr="00883FC0">
        <w:rPr>
          <w:rFonts w:ascii="Arial" w:hAnsi="Arial" w:cs="Arial"/>
          <w:color w:val="000000"/>
          <w:lang w:val="en-GB"/>
        </w:rPr>
        <w:fldChar w:fldCharType="end"/>
      </w:r>
      <w:r w:rsidRPr="00883FC0">
        <w:rPr>
          <w:rFonts w:ascii="Arial" w:hAnsi="Arial" w:cs="Arial"/>
          <w:color w:val="000000"/>
          <w:lang w:val="en-GB"/>
        </w:rPr>
        <w:t xml:space="preserve">). The ITS2 region of the nuclear rDNA was amplified using the primer pair NC1 (Forward - 5’-ACGTCTGGTTCAGGGTTGTT-3’) and NC2 (Reverse- 5’-TTAGTTTCTTTTCCTCCGCT-3’) with the following PCR conditions: 10µl of </w:t>
      </w:r>
      <w:r w:rsidRPr="00883FC0">
        <w:rPr>
          <w:rFonts w:ascii="Arial" w:hAnsi="Arial" w:cs="Arial"/>
          <w:bCs/>
          <w:color w:val="000000"/>
          <w:lang w:val="en-GB"/>
        </w:rPr>
        <w:t xml:space="preserve">Applied Biosystems™ Master Mix </w:t>
      </w:r>
      <w:proofErr w:type="spellStart"/>
      <w:r w:rsidRPr="00883FC0">
        <w:rPr>
          <w:rFonts w:ascii="Arial" w:hAnsi="Arial" w:cs="Arial"/>
          <w:bCs/>
          <w:color w:val="000000"/>
          <w:lang w:val="en-GB"/>
        </w:rPr>
        <w:t>AmpliTaq</w:t>
      </w:r>
      <w:proofErr w:type="spellEnd"/>
      <w:r w:rsidRPr="00883FC0">
        <w:rPr>
          <w:rFonts w:ascii="Arial" w:hAnsi="Arial" w:cs="Arial"/>
          <w:bCs/>
          <w:color w:val="000000"/>
          <w:lang w:val="en-GB"/>
        </w:rPr>
        <w:t> Gold™ 360, 5</w:t>
      </w:r>
      <w:r w:rsidR="0024743B" w:rsidRPr="00883FC0">
        <w:rPr>
          <w:rFonts w:ascii="Arial" w:hAnsi="Arial" w:cs="Arial"/>
          <w:bCs/>
          <w:color w:val="000000"/>
          <w:lang w:val="en-GB"/>
        </w:rPr>
        <w:t>.</w:t>
      </w:r>
      <w:r w:rsidRPr="00883FC0">
        <w:rPr>
          <w:rFonts w:ascii="Arial" w:hAnsi="Arial" w:cs="Arial"/>
          <w:bCs/>
          <w:color w:val="000000"/>
          <w:lang w:val="en-GB"/>
        </w:rPr>
        <w:t>84µl of molecular biology grade water, 0</w:t>
      </w:r>
      <w:r w:rsidR="007C0A2B" w:rsidRPr="00883FC0">
        <w:rPr>
          <w:rFonts w:ascii="Arial" w:hAnsi="Arial" w:cs="Arial"/>
          <w:bCs/>
          <w:color w:val="000000"/>
          <w:lang w:val="en-GB"/>
        </w:rPr>
        <w:t>.</w:t>
      </w:r>
      <w:r w:rsidRPr="00883FC0">
        <w:rPr>
          <w:rFonts w:ascii="Arial" w:hAnsi="Arial" w:cs="Arial"/>
          <w:bCs/>
          <w:color w:val="000000"/>
          <w:lang w:val="en-GB"/>
        </w:rPr>
        <w:t>16µl of Bovine Serum Albumin</w:t>
      </w:r>
      <w:r w:rsidRPr="00883FC0">
        <w:rPr>
          <w:rFonts w:ascii="Arial" w:hAnsi="Arial" w:cs="Arial"/>
          <w:color w:val="000000"/>
          <w:lang w:val="en-GB"/>
        </w:rPr>
        <w:t xml:space="preserve">, 2μL of 5 </w:t>
      </w:r>
      <w:proofErr w:type="spellStart"/>
      <w:r w:rsidRPr="00883FC0">
        <w:rPr>
          <w:rFonts w:ascii="Arial" w:hAnsi="Arial" w:cs="Arial"/>
          <w:color w:val="000000"/>
          <w:lang w:val="en-GB"/>
        </w:rPr>
        <w:t>μM</w:t>
      </w:r>
      <w:proofErr w:type="spellEnd"/>
      <w:r w:rsidRPr="00883FC0">
        <w:rPr>
          <w:rFonts w:ascii="Arial" w:hAnsi="Arial" w:cs="Arial"/>
          <w:color w:val="000000"/>
          <w:lang w:val="en-GB"/>
        </w:rPr>
        <w:t xml:space="preserve"> mixed F and R primers form, 2 </w:t>
      </w:r>
      <w:proofErr w:type="spellStart"/>
      <w:r w:rsidRPr="00883FC0">
        <w:rPr>
          <w:rFonts w:ascii="Arial" w:hAnsi="Arial" w:cs="Arial"/>
          <w:color w:val="000000"/>
          <w:lang w:val="en-GB"/>
        </w:rPr>
        <w:t>μL</w:t>
      </w:r>
      <w:proofErr w:type="spellEnd"/>
      <w:r w:rsidRPr="00883FC0">
        <w:rPr>
          <w:rFonts w:ascii="Arial" w:hAnsi="Arial" w:cs="Arial"/>
          <w:color w:val="000000"/>
          <w:lang w:val="en-GB"/>
        </w:rPr>
        <w:t xml:space="preserve"> of DNA lysate. </w:t>
      </w:r>
      <w:r w:rsidRPr="00883FC0">
        <w:rPr>
          <w:rFonts w:ascii="Arial" w:hAnsi="Arial" w:cs="Arial"/>
          <w:lang w:val="en-GB"/>
        </w:rPr>
        <w:t>The PCR was performed under the following conditions: 10 min initial denaturation at 95°C;</w:t>
      </w:r>
      <w:r w:rsidR="00E70626">
        <w:rPr>
          <w:rFonts w:ascii="Arial" w:hAnsi="Arial" w:cs="Arial"/>
          <w:lang w:val="en-GB"/>
        </w:rPr>
        <w:t xml:space="preserve"> </w:t>
      </w:r>
      <w:r w:rsidR="00E70626" w:rsidRPr="00E70626">
        <w:rPr>
          <w:rFonts w:ascii="Arial" w:hAnsi="Arial" w:cs="Arial"/>
          <w:highlight w:val="yellow"/>
          <w:lang w:val="en-GB"/>
        </w:rPr>
        <w:t>followed by</w:t>
      </w:r>
      <w:r w:rsidRPr="00883FC0">
        <w:rPr>
          <w:rFonts w:ascii="Arial" w:hAnsi="Arial" w:cs="Arial"/>
          <w:lang w:val="en-GB"/>
        </w:rPr>
        <w:t xml:space="preserve"> 35 cycles of denaturation (30 s at 95°C), annealing (30 s at 54°C), and extension (1 min at 72°C); a final extension at 72°C for 7 min.</w:t>
      </w:r>
    </w:p>
    <w:p w14:paraId="01510B7E" w14:textId="5F2761FE" w:rsidR="00685709" w:rsidRPr="00883FC0" w:rsidRDefault="00685709" w:rsidP="00A0712B">
      <w:pPr>
        <w:pStyle w:val="NormalWeb"/>
        <w:spacing w:before="0" w:beforeAutospacing="0" w:after="0" w:afterAutospacing="0" w:line="360" w:lineRule="auto"/>
        <w:ind w:firstLine="708"/>
        <w:jc w:val="both"/>
        <w:rPr>
          <w:rFonts w:ascii="Arial" w:hAnsi="Arial" w:cs="Arial"/>
          <w:color w:val="000000"/>
          <w:lang w:val="en-GB"/>
        </w:rPr>
      </w:pPr>
      <w:r w:rsidRPr="00883FC0">
        <w:rPr>
          <w:rFonts w:ascii="Arial" w:hAnsi="Arial" w:cs="Arial"/>
          <w:lang w:val="en-GB"/>
        </w:rPr>
        <w:t>To detect the mutations responsible f</w:t>
      </w:r>
      <w:r w:rsidR="00281337" w:rsidRPr="00883FC0">
        <w:rPr>
          <w:rFonts w:ascii="Arial" w:hAnsi="Arial" w:cs="Arial"/>
          <w:lang w:val="en-GB"/>
        </w:rPr>
        <w:t>or</w:t>
      </w:r>
      <w:r w:rsidRPr="00883FC0">
        <w:rPr>
          <w:rFonts w:ascii="Arial" w:hAnsi="Arial" w:cs="Arial"/>
          <w:lang w:val="en-GB"/>
        </w:rPr>
        <w:t xml:space="preserve"> the resistance of gastrointestinal nematode</w:t>
      </w:r>
      <w:r w:rsidR="00281337" w:rsidRPr="00883FC0">
        <w:rPr>
          <w:rFonts w:ascii="Arial" w:hAnsi="Arial" w:cs="Arial"/>
          <w:lang w:val="en-GB"/>
        </w:rPr>
        <w:t>s</w:t>
      </w:r>
      <w:r w:rsidRPr="00883FC0">
        <w:rPr>
          <w:rFonts w:ascii="Arial" w:hAnsi="Arial" w:cs="Arial"/>
          <w:lang w:val="en-GB"/>
        </w:rPr>
        <w:t xml:space="preserve"> to benzimidazole, we used a modified protocol of </w:t>
      </w:r>
      <w:r w:rsidRPr="00883FC0">
        <w:rPr>
          <w:rFonts w:ascii="Arial" w:hAnsi="Arial" w:cs="Arial"/>
          <w:lang w:val="en-GB"/>
        </w:rPr>
        <w:fldChar w:fldCharType="begin"/>
      </w:r>
      <w:r w:rsidRPr="00883FC0">
        <w:rPr>
          <w:rFonts w:ascii="Arial" w:hAnsi="Arial" w:cs="Arial"/>
          <w:lang w:val="en-GB"/>
        </w:rPr>
        <w:instrText xml:space="preserve"> ADDIN ZOTERO_ITEM CSL_CITATION {"citationID":"7cD34fcq","properties":{"formattedCitation":"(Avramenko et al., 2019)","plainCitation":"(Avramenko et al., 2019)","dontUpdate":true,"noteIndex":0},"citationItems":[{"id":578,"uris":["http://zotero.org/users/local/NciqjDvn/items/NXNZT3CS"],"itemData":{"id":578,"type":"article-journal","abstract":"Parasitic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Pr="00883FC0">
        <w:rPr>
          <w:rFonts w:ascii="Arial" w:hAnsi="Arial" w:cs="Arial"/>
          <w:lang w:val="en-GB"/>
        </w:rPr>
        <w:fldChar w:fldCharType="separate"/>
      </w:r>
      <w:r w:rsidRPr="00883FC0">
        <w:rPr>
          <w:rFonts w:ascii="Arial" w:hAnsi="Arial" w:cs="Arial"/>
          <w:lang w:val="en-GB"/>
        </w:rPr>
        <w:t>Avramenko et al., (2019</w:t>
      </w:r>
      <w:r w:rsidRPr="00883FC0">
        <w:rPr>
          <w:rFonts w:ascii="Arial" w:hAnsi="Arial" w:cs="Arial"/>
          <w:lang w:val="en-GB"/>
        </w:rPr>
        <w:fldChar w:fldCharType="end"/>
      </w:r>
      <w:r w:rsidRPr="00883FC0">
        <w:rPr>
          <w:rFonts w:ascii="Arial" w:hAnsi="Arial" w:cs="Arial"/>
          <w:lang w:val="en-GB"/>
        </w:rPr>
        <w:t xml:space="preserve">). </w:t>
      </w:r>
      <w:r w:rsidR="00AE11A3" w:rsidRPr="00883FC0">
        <w:rPr>
          <w:rFonts w:ascii="Arial" w:hAnsi="Arial" w:cs="Arial"/>
          <w:lang w:val="en-GB"/>
        </w:rPr>
        <w:t>Using the same mix as previously described, w</w:t>
      </w:r>
      <w:r w:rsidRPr="00883FC0">
        <w:rPr>
          <w:rFonts w:ascii="Arial" w:hAnsi="Arial" w:cs="Arial"/>
          <w:lang w:val="en-GB"/>
        </w:rPr>
        <w:t xml:space="preserve">e amplified the </w:t>
      </w:r>
      <w:r w:rsidR="009E3B6C" w:rsidRPr="00883FC0">
        <w:rPr>
          <w:rFonts w:ascii="Arial" w:hAnsi="Arial" w:cs="Arial"/>
          <w:color w:val="000000"/>
          <w:lang w:val="en-GB"/>
        </w:rPr>
        <w:t xml:space="preserve">β-tubulin isotype 1 </w:t>
      </w:r>
      <w:r w:rsidRPr="00883FC0">
        <w:rPr>
          <w:rFonts w:ascii="Arial" w:hAnsi="Arial" w:cs="Arial"/>
          <w:lang w:val="en-GB"/>
        </w:rPr>
        <w:t>fragment comprising the codon</w:t>
      </w:r>
      <w:r w:rsidR="001E1EA8" w:rsidRPr="00883FC0">
        <w:rPr>
          <w:rFonts w:ascii="Arial" w:hAnsi="Arial" w:cs="Arial"/>
          <w:lang w:val="en-GB"/>
        </w:rPr>
        <w:t>s</w:t>
      </w:r>
      <w:r w:rsidRPr="00883FC0">
        <w:rPr>
          <w:rFonts w:ascii="Arial" w:hAnsi="Arial" w:cs="Arial"/>
          <w:lang w:val="en-GB"/>
        </w:rPr>
        <w:t xml:space="preserve"> at position 167, 198 and 200 with two pairs of primers in two independent PCR</w:t>
      </w:r>
      <w:r w:rsidR="007C0A2B" w:rsidRPr="00883FC0">
        <w:rPr>
          <w:rFonts w:ascii="Arial" w:hAnsi="Arial" w:cs="Arial"/>
          <w:lang w:val="en-GB"/>
        </w:rPr>
        <w:t>s</w:t>
      </w:r>
      <w:r w:rsidR="001E1EA8" w:rsidRPr="00883FC0">
        <w:rPr>
          <w:rFonts w:ascii="Arial" w:hAnsi="Arial" w:cs="Arial"/>
          <w:lang w:val="en-GB"/>
        </w:rPr>
        <w:t xml:space="preserve">. </w:t>
      </w:r>
      <w:r w:rsidRPr="00883FC0">
        <w:rPr>
          <w:rFonts w:ascii="Arial" w:hAnsi="Arial" w:cs="Arial"/>
          <w:lang w:val="en-GB"/>
        </w:rPr>
        <w:t>The PCR was performed under the following conditions: 10 min initial denaturation at 95°C; 40 cycles of denaturation (30 s at 95°C), annealing (30 s at 65°C), and extension (30 s at 72°C); a final extension at 72°C for 7 min.</w:t>
      </w:r>
      <w:r w:rsidRPr="00883FC0">
        <w:rPr>
          <w:rFonts w:ascii="Arial" w:hAnsi="Arial" w:cs="Arial"/>
          <w:color w:val="000000"/>
          <w:lang w:val="en-GB"/>
        </w:rPr>
        <w:t xml:space="preserve"> We targeted </w:t>
      </w:r>
      <w:r w:rsidRPr="00883FC0">
        <w:rPr>
          <w:rFonts w:ascii="Arial" w:hAnsi="Arial" w:cs="Arial"/>
          <w:i/>
          <w:color w:val="000000"/>
          <w:lang w:val="en-GB"/>
        </w:rPr>
        <w:t xml:space="preserve">Teladorsagia circumcincta </w:t>
      </w:r>
      <w:r w:rsidRPr="00883FC0">
        <w:rPr>
          <w:rFonts w:ascii="Arial" w:hAnsi="Arial" w:cs="Arial"/>
          <w:color w:val="000000"/>
          <w:lang w:val="en-GB"/>
        </w:rPr>
        <w:t xml:space="preserve">and </w:t>
      </w:r>
      <w:r w:rsidRPr="00883FC0">
        <w:rPr>
          <w:rFonts w:ascii="Arial" w:hAnsi="Arial" w:cs="Arial"/>
          <w:i/>
          <w:color w:val="000000"/>
          <w:lang w:val="en-GB"/>
        </w:rPr>
        <w:t xml:space="preserve">Trichostrongylus </w:t>
      </w:r>
      <w:r w:rsidRPr="00883FC0">
        <w:rPr>
          <w:rFonts w:ascii="Arial" w:hAnsi="Arial" w:cs="Arial"/>
          <w:color w:val="000000"/>
          <w:lang w:val="en-GB"/>
        </w:rPr>
        <w:t>spp</w:t>
      </w:r>
      <w:r w:rsidRPr="00883FC0">
        <w:rPr>
          <w:rFonts w:ascii="Arial" w:hAnsi="Arial" w:cs="Arial"/>
          <w:i/>
          <w:color w:val="000000"/>
          <w:lang w:val="en-GB"/>
        </w:rPr>
        <w:t xml:space="preserve">. </w:t>
      </w:r>
      <w:r w:rsidRPr="00883FC0">
        <w:rPr>
          <w:rFonts w:ascii="Arial" w:hAnsi="Arial" w:cs="Arial"/>
          <w:color w:val="000000"/>
          <w:lang w:val="en-GB"/>
        </w:rPr>
        <w:t>(Forward:5’-</w:t>
      </w:r>
      <w:r w:rsidRPr="00883FC0">
        <w:rPr>
          <w:rFonts w:ascii="Arial" w:hAnsi="Arial" w:cs="Arial"/>
          <w:lang w:val="en-GB"/>
        </w:rPr>
        <w:t xml:space="preserve"> </w:t>
      </w:r>
      <w:r w:rsidRPr="00883FC0">
        <w:rPr>
          <w:rFonts w:ascii="Arial" w:hAnsi="Arial" w:cs="Arial"/>
          <w:color w:val="000000"/>
          <w:lang w:val="en-GB"/>
        </w:rPr>
        <w:t>CGCATTCWCTTGGAGGAGG-3’ and Reverse:</w:t>
      </w:r>
      <w:r w:rsidRPr="00883FC0">
        <w:rPr>
          <w:rFonts w:ascii="Arial" w:hAnsi="Arial" w:cs="Arial"/>
          <w:lang w:val="en-GB"/>
        </w:rPr>
        <w:t xml:space="preserve"> </w:t>
      </w:r>
      <w:r w:rsidRPr="00883FC0">
        <w:rPr>
          <w:rFonts w:ascii="Arial" w:hAnsi="Arial" w:cs="Arial"/>
          <w:color w:val="000000"/>
          <w:lang w:val="en-GB"/>
        </w:rPr>
        <w:t>5’-</w:t>
      </w:r>
      <w:r w:rsidRPr="00883FC0">
        <w:rPr>
          <w:rFonts w:ascii="Arial" w:hAnsi="Arial" w:cs="Arial"/>
          <w:lang w:val="en-GB"/>
        </w:rPr>
        <w:t xml:space="preserve"> </w:t>
      </w:r>
      <w:r w:rsidRPr="00883FC0">
        <w:rPr>
          <w:rFonts w:ascii="Arial" w:hAnsi="Arial" w:cs="Arial"/>
          <w:color w:val="000000"/>
          <w:lang w:val="en-GB"/>
        </w:rPr>
        <w:t xml:space="preserve">GTGAGYTTCAAWGTGCGGAAG-3’) and </w:t>
      </w:r>
      <w:r w:rsidRPr="00883FC0">
        <w:rPr>
          <w:rFonts w:ascii="Arial" w:hAnsi="Arial" w:cs="Arial"/>
          <w:i/>
          <w:color w:val="000000"/>
          <w:lang w:val="en-GB"/>
        </w:rPr>
        <w:t>Haemonchus contortus</w:t>
      </w:r>
      <w:r w:rsidRPr="00883FC0">
        <w:rPr>
          <w:rFonts w:ascii="Arial" w:hAnsi="Arial" w:cs="Arial"/>
          <w:color w:val="000000"/>
          <w:lang w:val="en-GB"/>
        </w:rPr>
        <w:t xml:space="preserve"> (Forward:5’-CGCATTCYTTGGGAGGAGG-3’ and Reverse:</w:t>
      </w:r>
      <w:r w:rsidRPr="00883FC0">
        <w:rPr>
          <w:rFonts w:ascii="Arial" w:hAnsi="Arial" w:cs="Arial"/>
          <w:lang w:val="en-GB"/>
        </w:rPr>
        <w:t xml:space="preserve"> </w:t>
      </w:r>
      <w:r w:rsidRPr="00883FC0">
        <w:rPr>
          <w:rFonts w:ascii="Arial" w:hAnsi="Arial" w:cs="Arial"/>
          <w:color w:val="000000"/>
          <w:lang w:val="en-GB"/>
        </w:rPr>
        <w:t xml:space="preserve">5’-GTGAGTTTYAAGGTGCGGAAG-3’) with the primers described by </w:t>
      </w:r>
      <w:r w:rsidRPr="00883FC0">
        <w:rPr>
          <w:rFonts w:ascii="Arial" w:hAnsi="Arial" w:cs="Arial"/>
          <w:color w:val="000000"/>
          <w:lang w:val="en-GB"/>
        </w:rPr>
        <w:fldChar w:fldCharType="begin"/>
      </w:r>
      <w:r w:rsidRPr="00883FC0">
        <w:rPr>
          <w:rFonts w:ascii="Arial" w:hAnsi="Arial" w:cs="Arial"/>
          <w:color w:val="000000"/>
          <w:lang w:val="en-GB"/>
        </w:rPr>
        <w:instrText xml:space="preserve"> ADDIN ZOTERO_ITEM CSL_CITATION {"citationID":"nw1djRJL","properties":{"formattedCitation":"(Avramenko et al., 2019)","plainCitation":"(Avramenko et al., 2019)","dontUpdate":true,"noteIndex":0},"citationItems":[{"id":578,"uris":["http://zotero.org/users/local/NciqjDvn/items/NXNZT3CS"],"itemData":{"id":578,"type":"article-journal","abstract":"Parasitic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Pr="00883FC0">
        <w:rPr>
          <w:rFonts w:ascii="Arial" w:hAnsi="Arial" w:cs="Arial"/>
          <w:color w:val="000000"/>
          <w:lang w:val="en-GB"/>
        </w:rPr>
        <w:fldChar w:fldCharType="separate"/>
      </w:r>
      <w:r w:rsidRPr="00883FC0">
        <w:rPr>
          <w:rFonts w:ascii="Arial" w:hAnsi="Arial" w:cs="Arial"/>
          <w:lang w:val="en-GB"/>
        </w:rPr>
        <w:t>Avramenko et al (2019</w:t>
      </w:r>
      <w:r w:rsidRPr="00883FC0">
        <w:rPr>
          <w:rFonts w:ascii="Arial" w:hAnsi="Arial" w:cs="Arial"/>
          <w:color w:val="000000"/>
          <w:lang w:val="en-GB"/>
        </w:rPr>
        <w:fldChar w:fldCharType="end"/>
      </w:r>
      <w:r w:rsidRPr="00883FC0">
        <w:rPr>
          <w:rFonts w:ascii="Arial" w:hAnsi="Arial" w:cs="Arial"/>
          <w:color w:val="000000"/>
          <w:lang w:val="en-GB"/>
        </w:rPr>
        <w:t>). All forward and reverse primers were tagged at 5’ in order that each sample had a unique combination of tagged primers.</w:t>
      </w:r>
    </w:p>
    <w:p w14:paraId="1D32A423" w14:textId="01396C7C" w:rsidR="00685709" w:rsidRPr="00883FC0" w:rsidRDefault="00685709" w:rsidP="00A0712B">
      <w:pPr>
        <w:pStyle w:val="NormalWeb"/>
        <w:spacing w:before="0" w:beforeAutospacing="0" w:after="0" w:afterAutospacing="0" w:line="360" w:lineRule="auto"/>
        <w:ind w:firstLine="708"/>
        <w:jc w:val="both"/>
        <w:rPr>
          <w:rFonts w:ascii="Arial" w:hAnsi="Arial" w:cs="Arial"/>
          <w:color w:val="000000"/>
          <w:lang w:val="en-GB"/>
        </w:rPr>
      </w:pPr>
      <w:r w:rsidRPr="00883FC0">
        <w:rPr>
          <w:rFonts w:ascii="Arial" w:hAnsi="Arial" w:cs="Arial"/>
          <w:color w:val="000000"/>
          <w:lang w:val="en-GB"/>
        </w:rPr>
        <w:lastRenderedPageBreak/>
        <w:t xml:space="preserve">In all PCRs, we added positive PCR controls (i.e., </w:t>
      </w:r>
      <w:r w:rsidRPr="00883FC0">
        <w:rPr>
          <w:rFonts w:ascii="Arial" w:hAnsi="Arial" w:cs="Arial"/>
          <w:i/>
          <w:color w:val="000000"/>
          <w:lang w:val="en-GB"/>
        </w:rPr>
        <w:t>Haemonchus contortus</w:t>
      </w:r>
      <w:r w:rsidRPr="00883FC0">
        <w:rPr>
          <w:rFonts w:ascii="Arial" w:hAnsi="Arial" w:cs="Arial"/>
          <w:color w:val="000000"/>
          <w:lang w:val="en-GB"/>
        </w:rPr>
        <w:t xml:space="preserve"> and </w:t>
      </w:r>
      <w:r w:rsidRPr="00883FC0">
        <w:rPr>
          <w:rFonts w:ascii="Arial" w:hAnsi="Arial" w:cs="Arial"/>
          <w:i/>
          <w:color w:val="000000"/>
          <w:lang w:val="en-GB"/>
        </w:rPr>
        <w:t xml:space="preserve">Teladorsagia circumcincta </w:t>
      </w:r>
      <w:r w:rsidRPr="00883FC0">
        <w:rPr>
          <w:rFonts w:ascii="Arial" w:hAnsi="Arial" w:cs="Arial"/>
          <w:color w:val="000000"/>
          <w:lang w:val="en-GB"/>
        </w:rPr>
        <w:t>DNA extracts), negative PCR controls (distilled H</w:t>
      </w:r>
      <w:r w:rsidRPr="00883FC0">
        <w:rPr>
          <w:rFonts w:ascii="Arial" w:hAnsi="Arial" w:cs="Arial"/>
          <w:color w:val="000000"/>
          <w:vertAlign w:val="subscript"/>
          <w:lang w:val="en-GB"/>
        </w:rPr>
        <w:t>2</w:t>
      </w:r>
      <w:r w:rsidRPr="00883FC0">
        <w:rPr>
          <w:rFonts w:ascii="Arial" w:hAnsi="Arial" w:cs="Arial"/>
          <w:color w:val="000000"/>
          <w:lang w:val="en-GB"/>
        </w:rPr>
        <w:t>O) and negative DNA extraction controls. All samples (including controls) were</w:t>
      </w:r>
      <w:r w:rsidR="000C76CA" w:rsidRPr="00883FC0">
        <w:rPr>
          <w:rFonts w:ascii="Arial" w:hAnsi="Arial" w:cs="Arial"/>
          <w:color w:val="000000"/>
          <w:lang w:val="en-GB"/>
        </w:rPr>
        <w:t xml:space="preserve"> </w:t>
      </w:r>
      <w:r w:rsidR="000C76CA" w:rsidRPr="00883FC0">
        <w:rPr>
          <w:rFonts w:ascii="Arial" w:hAnsi="Arial" w:cs="Arial"/>
          <w:lang w:val="en-US"/>
        </w:rPr>
        <w:t>tagged with unique barcode identifiers to allow pooling into a single amplicon library</w:t>
      </w:r>
      <w:r w:rsidR="005F5967" w:rsidRPr="00883FC0">
        <w:rPr>
          <w:rFonts w:ascii="Arial" w:hAnsi="Arial" w:cs="Arial"/>
          <w:lang w:val="en-US"/>
        </w:rPr>
        <w:t xml:space="preserve"> </w:t>
      </w:r>
      <w:r w:rsidR="005F5967" w:rsidRPr="00883FC0">
        <w:rPr>
          <w:rFonts w:ascii="Arial" w:hAnsi="Arial" w:cs="Arial"/>
          <w:lang w:val="en-US"/>
        </w:rPr>
        <w:fldChar w:fldCharType="begin"/>
      </w:r>
      <w:r w:rsidR="00A36BEF" w:rsidRPr="00883FC0">
        <w:rPr>
          <w:rFonts w:ascii="Arial" w:hAnsi="Arial" w:cs="Arial"/>
          <w:lang w:val="en-US"/>
        </w:rPr>
        <w:instrText xml:space="preserve"> ADDIN ZOTERO_ITEM CSL_CITATION {"citationID":"yJ6QYMDw","properties":{"formattedCitation":"(Taberlet et al., 2018)","plainCitation":"(Taberlet et al., 2018)","noteIndex":0},"citationItems":[{"id":"hYqkjRdb/ohg3ifEA","uris":["http://zotero.org/users/local/NciqjDvn/items/M288QIV8"],"itemData":{"id":"zcKGPFtb/HsIE4YZo","type":"book","abstract":"Environmental DNA (eDNA) refers to DNA that can be extracted from environmental samples (such as soil, water, feces, or air) without the prior isolation of any target organism. The analysis of environmental DNA has the potential of providing high-throughput information on taxa and functionalgenes in a given environment, and is easily amenable to the study of both aquatic and terrestrial ecosystems. It can provide an understanding of past or present biological communities as well as their trophic relationships, and can thus offer useful insights into ecosystem functioning. There is nowa rapidly-growing interest amongst biologists in applying analysis of environmental DNA to their own research. However, good practices and protocols dealing with environmental DNA are currently widely dispersed across numerous papers, with many of them presenting only preliminary results and using adiversity of methods. In this context, the principal objective of this practical handbook is to provide biologists (both students and researchers) with the scientific background necessary to assist with the understanding and implementation of best practices and analyses based on environmentalDNA.","event-place":"Oxford, UK","ISBN":"978-0-19-876722-0","language":"en","note":"Google-Books-ID: 1e9IDwAAQBAJ","number-of-pages":"268","publisher":"Oxford University Press","publisher-place":"Oxford, UK","source":"Google Books","title":"Environmental DNA: for biodiversity research and monitoring","title-short":"Environmental DNA","author":[{"family":"Taberlet","given":"Pierre"},{"family":"Bonin","given":"Aurélie"},{"family":"Zinger","given":"Lucie"},{"family":"Coissac","given":"Eric"}],"issued":{"date-parts":[["2018"]]}}}],"schema":"https://github.com/citation-style-language/schema/raw/master/csl-citation.json"} </w:instrText>
      </w:r>
      <w:r w:rsidR="005F5967" w:rsidRPr="00883FC0">
        <w:rPr>
          <w:rFonts w:ascii="Arial" w:hAnsi="Arial" w:cs="Arial"/>
          <w:lang w:val="en-US"/>
        </w:rPr>
        <w:fldChar w:fldCharType="separate"/>
      </w:r>
      <w:r w:rsidR="005F5967" w:rsidRPr="00883FC0">
        <w:rPr>
          <w:rFonts w:ascii="Arial" w:hAnsi="Arial" w:cs="Arial"/>
          <w:lang w:val="en-US"/>
        </w:rPr>
        <w:t>(Taberlet et al., 2018)</w:t>
      </w:r>
      <w:r w:rsidR="005F5967" w:rsidRPr="00883FC0">
        <w:rPr>
          <w:rFonts w:ascii="Arial" w:hAnsi="Arial" w:cs="Arial"/>
          <w:lang w:val="en-US"/>
        </w:rPr>
        <w:fldChar w:fldCharType="end"/>
      </w:r>
      <w:r w:rsidR="000C76CA" w:rsidRPr="00883FC0">
        <w:rPr>
          <w:rFonts w:ascii="Arial" w:hAnsi="Arial" w:cs="Arial"/>
          <w:lang w:val="en-US"/>
        </w:rPr>
        <w:t>, and all samples were</w:t>
      </w:r>
      <w:r w:rsidRPr="00883FC0">
        <w:rPr>
          <w:rFonts w:ascii="Arial" w:hAnsi="Arial" w:cs="Arial"/>
          <w:lang w:val="en-GB"/>
        </w:rPr>
        <w:t xml:space="preserve"> </w:t>
      </w:r>
      <w:r w:rsidRPr="00883FC0">
        <w:rPr>
          <w:rFonts w:ascii="Arial" w:hAnsi="Arial" w:cs="Arial"/>
          <w:color w:val="000000"/>
          <w:lang w:val="en-GB"/>
        </w:rPr>
        <w:t>independently amplified 4 times</w:t>
      </w:r>
      <w:r w:rsidR="000C76CA" w:rsidRPr="00883FC0">
        <w:rPr>
          <w:rFonts w:ascii="Arial" w:hAnsi="Arial" w:cs="Arial"/>
          <w:color w:val="000000"/>
          <w:lang w:val="en-GB"/>
        </w:rPr>
        <w:t xml:space="preserve"> to ensure sequencing</w:t>
      </w:r>
      <w:r w:rsidR="007C0A2B" w:rsidRPr="00883FC0">
        <w:rPr>
          <w:rFonts w:ascii="Arial" w:hAnsi="Arial" w:cs="Arial"/>
          <w:color w:val="000000"/>
          <w:lang w:val="en-GB"/>
        </w:rPr>
        <w:t xml:space="preserve"> reliability</w:t>
      </w:r>
      <w:r w:rsidR="000C76CA" w:rsidRPr="00883FC0">
        <w:rPr>
          <w:rFonts w:ascii="Arial" w:hAnsi="Arial" w:cs="Arial"/>
          <w:color w:val="000000"/>
          <w:lang w:val="en-GB"/>
        </w:rPr>
        <w:t>. Amplifications were carried out</w:t>
      </w:r>
      <w:r w:rsidRPr="00883FC0">
        <w:rPr>
          <w:rFonts w:ascii="Arial" w:hAnsi="Arial" w:cs="Arial"/>
          <w:color w:val="000000"/>
          <w:lang w:val="en-GB"/>
        </w:rPr>
        <w:t xml:space="preserve"> in 96-well plates</w:t>
      </w:r>
      <w:r w:rsidR="005F5967" w:rsidRPr="00883FC0">
        <w:rPr>
          <w:rFonts w:ascii="Arial" w:hAnsi="Arial" w:cs="Arial"/>
          <w:color w:val="000000"/>
          <w:lang w:val="en-GB"/>
        </w:rPr>
        <w:t xml:space="preserve">, </w:t>
      </w:r>
      <w:proofErr w:type="spellStart"/>
      <w:r w:rsidR="005F5967" w:rsidRPr="00883FC0">
        <w:rPr>
          <w:rFonts w:ascii="Arial" w:hAnsi="Arial" w:cs="Arial"/>
          <w:color w:val="000000"/>
          <w:lang w:val="en-GB"/>
        </w:rPr>
        <w:t>totaling</w:t>
      </w:r>
      <w:proofErr w:type="spellEnd"/>
      <w:r w:rsidR="005F5967" w:rsidRPr="00883FC0">
        <w:rPr>
          <w:rFonts w:ascii="Arial" w:hAnsi="Arial" w:cs="Arial"/>
          <w:color w:val="000000"/>
          <w:lang w:val="en-GB"/>
        </w:rPr>
        <w:t xml:space="preserve"> 209 ibex and sheep samples</w:t>
      </w:r>
      <w:r w:rsidRPr="00883FC0">
        <w:rPr>
          <w:rFonts w:ascii="Arial" w:hAnsi="Arial" w:cs="Arial"/>
          <w:color w:val="000000"/>
          <w:lang w:val="en-GB"/>
        </w:rPr>
        <w:t xml:space="preserve">, 17 PCR positive controls, 13 PCR negative controls, 7 extraction negative controls, 30 DNA extraction controls, as well as 12 empty wells in each plate to quantify tag jumping during PCR and sequencing </w:t>
      </w:r>
      <w:r w:rsidRPr="00883FC0">
        <w:rPr>
          <w:rFonts w:ascii="Arial" w:hAnsi="Arial" w:cs="Arial"/>
          <w:lang w:val="en-GB"/>
        </w:rPr>
        <w:t>steps (</w:t>
      </w:r>
      <w:r w:rsidR="00D71677" w:rsidRPr="00883FC0">
        <w:rPr>
          <w:rFonts w:ascii="Arial" w:hAnsi="Arial" w:cs="Arial"/>
          <w:lang w:val="en-GB"/>
        </w:rPr>
        <w:t>Figure S2</w:t>
      </w:r>
      <w:r w:rsidR="000C76CA" w:rsidRPr="00883FC0">
        <w:rPr>
          <w:rFonts w:ascii="Arial" w:hAnsi="Arial" w:cs="Arial"/>
          <w:lang w:val="en-GB"/>
        </w:rPr>
        <w:t>;</w:t>
      </w:r>
      <w:r w:rsidRPr="00883FC0">
        <w:rPr>
          <w:rFonts w:ascii="Arial" w:hAnsi="Arial" w:cs="Arial"/>
          <w:lang w:val="en-GB"/>
        </w:rPr>
        <w:fldChar w:fldCharType="begin"/>
      </w:r>
      <w:r w:rsidR="00A36BEF" w:rsidRPr="00883FC0">
        <w:rPr>
          <w:rFonts w:ascii="Arial" w:hAnsi="Arial" w:cs="Arial"/>
          <w:lang w:val="en-GB"/>
        </w:rPr>
        <w:instrText xml:space="preserve"> ADDIN ZOTERO_ITEM CSL_CITATION {"citationID":"FxfAil2Y","properties":{"formattedCitation":"(De Barba et al., 2014; Taberlet et al., 2018)","plainCitation":"(De Barba et al., 2014; Taberlet et al., 2018)","dontUpdate":true,"noteIndex":0},"citationItems":[{"id":191,"uris":["http://zotero.org/users/local/NciqjDvn/items/N352SX5I"],"itemData":{"id":191,"type":"article-journal","abstract":"Ecological understanding of the role of consumer–resource interactions in natural food webs is limited by the difficulty of accurately and efficiently determining the complex variety of food types animals have eaten in the field. We developed a method based on DNA metabarcoding multiplexing and next-generation sequencing to uncover different taxonomic groups of organisms from complex diet samples. We validated this approach on 91 faeces of a large omnivorous mammal, the brown bear, using DNA metabarcoding markers targeting the plant, vertebrate and invertebrate components of the diet. We included internal controls in the experiments and performed PCR replication for accuracy validation in postsequencing data analysis. Using our multiplexing strategy, we significantly simplified the experimental procedure and accurately and concurrently identified different prey DNA corresponding to the targeted taxonomic groups, with ≥60% of taxa of all diet components identified to genus/species level. The systematic application of internal controls and replication was a useful and simple way to evaluate the performance of our experimental procedure, standardize the selection of sequence filtering parameters for each marker data and validate the accuracy of the results. Our general approach can be adapted to the analysis of dietary samples of various predator species in different ecosystems, for a number of conservation and ecological applications entailing large-scale population level diet assessment through cost-effective screening of multiple DNA metabarcodes, and the detection of fine dietary variation among samples or individuals and of rare food items.","container-title":"Molecular Ecology Resources","DOI":"10.1111/1755-0998.12188","ISSN":"1755-0998","issue":"2","language":"en","page":"306-323","source":"Wiley Online Library","title":"DNA metabarcoding multiplexing and validation of data accuracy for diet assessment: application to omnivorous diet","title-short":"DNA metabarcoding multiplexing and validation of data accuracy for diet assessment","volume":"14","author":[{"family":"De Barba","given":"M."},{"family":"Miquel","given":"C."},{"family":"Boyer","given":"F."},{"family":"Mercier","given":"C."},{"family":"Rioux","given":"D."},{"family":"Coissac","given":"E."},{"family":"Taberlet","given":"P."}],"issued":{"date-parts":[["2014",3,1]]}}},{"id":"hYqkjRdb/ohg3ifEA","uris":["http://zotero.org/users/local/NciqjDvn/items/M288QIV8"],"itemData":{"id":642,"type":"book","abstract":"Environmental DNA (eDNA) refers to DNA that can be extracted from environmental samples (such as soil, water, feces, or air) without the prior isolation of any target organism. The analysis of environmental DNA has the potential of providing high-throughput information on taxa and functionalgenes in a given environment, and is easily amenable to the study of both aquatic and terrestrial ecosystems. It can provide an understanding of past or present biological communities as well as their trophic relationships, and can thus offer useful insights into ecosystem functioning. There is nowa rapidly-growing interest amongst biologists in applying analysis of environmental DNA to their own research. However, good practices and protocols dealing with environmental DNA are currently widely dispersed across numerous papers, with many of them presenting only preliminary results and using adiversity of methods. In this context, the principal objective of this practical handbook is to provide biologists (both students and researchers) with the scientific background necessary to assist with the understanding and implementation of best practices and analyses based on environmentalDNA.","event-place":"Oxford, UK","ISBN":"978-0-19-876722-0","language":"en","note":"Google-Books-ID: 1e9IDwAAQBAJ","number-of-pages":"268","publisher":"Oxford University Press","publisher-place":"Oxford, UK","source":"Google Books","title":"Environmental DNA: for biodiversity research and monitoring","title-short":"Environmental DNA","author":[{"family":"Taberlet","given":"Pierre"},{"family":"Bonin","given":"Aurélie"},{"family":"Zinger","given":"Lucie"},{"family":"Coissac","given":"Eric"}],"issued":{"date-parts":[["2018"]]}}}],"schema":"https://github.com/citation-style-language/schema/raw/master/csl-citation.json"} </w:instrText>
      </w:r>
      <w:r w:rsidRPr="00883FC0">
        <w:rPr>
          <w:rFonts w:ascii="Arial" w:hAnsi="Arial" w:cs="Arial"/>
          <w:lang w:val="en-GB"/>
        </w:rPr>
        <w:fldChar w:fldCharType="separate"/>
      </w:r>
      <w:r w:rsidR="000C76CA" w:rsidRPr="00883FC0">
        <w:rPr>
          <w:rFonts w:ascii="Arial" w:hAnsi="Arial" w:cs="Arial"/>
          <w:lang w:val="en-US"/>
        </w:rPr>
        <w:t xml:space="preserve"> </w:t>
      </w:r>
      <w:r w:rsidR="00D936CA" w:rsidRPr="00883FC0">
        <w:rPr>
          <w:rFonts w:ascii="Arial" w:hAnsi="Arial" w:cs="Arial"/>
          <w:lang w:val="en-US"/>
        </w:rPr>
        <w:t>De Barba et al., 2014; Taberlet et al., 2018)</w:t>
      </w:r>
      <w:r w:rsidRPr="00883FC0">
        <w:rPr>
          <w:rFonts w:ascii="Arial" w:hAnsi="Arial" w:cs="Arial"/>
          <w:lang w:val="en-GB"/>
        </w:rPr>
        <w:fldChar w:fldCharType="end"/>
      </w:r>
      <w:r w:rsidRPr="00883FC0">
        <w:rPr>
          <w:rFonts w:ascii="Arial" w:hAnsi="Arial" w:cs="Arial"/>
          <w:color w:val="000000"/>
          <w:lang w:val="en-GB"/>
        </w:rPr>
        <w:t>.</w:t>
      </w:r>
    </w:p>
    <w:p w14:paraId="3ACF9182" w14:textId="7604E64F" w:rsidR="00685709" w:rsidRPr="00883FC0" w:rsidRDefault="00685709" w:rsidP="00A0712B">
      <w:pPr>
        <w:pStyle w:val="NormalWeb"/>
        <w:spacing w:before="0" w:beforeAutospacing="0" w:after="0" w:afterAutospacing="0" w:line="360" w:lineRule="auto"/>
        <w:ind w:firstLine="708"/>
        <w:jc w:val="both"/>
        <w:rPr>
          <w:rFonts w:ascii="Arial" w:hAnsi="Arial" w:cs="Arial"/>
          <w:color w:val="000000"/>
          <w:lang w:val="en-GB"/>
        </w:rPr>
      </w:pPr>
      <w:r w:rsidRPr="00883FC0">
        <w:rPr>
          <w:rFonts w:ascii="Arial" w:hAnsi="Arial" w:cs="Arial"/>
          <w:color w:val="000000"/>
          <w:lang w:val="en-GB"/>
        </w:rPr>
        <w:t xml:space="preserve">All PCR products of the ITS2 and the two </w:t>
      </w:r>
      <w:r w:rsidR="009E3B6C" w:rsidRPr="00883FC0">
        <w:rPr>
          <w:rFonts w:ascii="Arial" w:hAnsi="Arial" w:cs="Arial"/>
          <w:color w:val="000000"/>
          <w:lang w:val="en-GB"/>
        </w:rPr>
        <w:t xml:space="preserve">β-tubulin isotype 1 </w:t>
      </w:r>
      <w:r w:rsidRPr="00883FC0">
        <w:rPr>
          <w:rFonts w:ascii="Arial" w:hAnsi="Arial" w:cs="Arial"/>
          <w:color w:val="000000"/>
          <w:lang w:val="en-GB"/>
        </w:rPr>
        <w:t xml:space="preserve">sets were purified using </w:t>
      </w:r>
      <w:proofErr w:type="spellStart"/>
      <w:r w:rsidRPr="00883FC0">
        <w:rPr>
          <w:rFonts w:ascii="Arial" w:hAnsi="Arial" w:cs="Arial"/>
          <w:color w:val="000000"/>
          <w:lang w:val="en-GB"/>
        </w:rPr>
        <w:t>QIAquick</w:t>
      </w:r>
      <w:proofErr w:type="spellEnd"/>
      <w:r w:rsidRPr="00883FC0">
        <w:rPr>
          <w:rFonts w:ascii="Arial" w:hAnsi="Arial" w:cs="Arial"/>
          <w:color w:val="000000"/>
          <w:lang w:val="en-GB"/>
        </w:rPr>
        <w:t>® Spin Columns (</w:t>
      </w:r>
      <w:proofErr w:type="spellStart"/>
      <w:r w:rsidRPr="00883FC0">
        <w:rPr>
          <w:rFonts w:ascii="Arial" w:hAnsi="Arial" w:cs="Arial"/>
          <w:color w:val="000000"/>
          <w:lang w:val="en-GB"/>
        </w:rPr>
        <w:t>QIAquick</w:t>
      </w:r>
      <w:proofErr w:type="spellEnd"/>
      <w:r w:rsidRPr="00883FC0">
        <w:rPr>
          <w:rFonts w:ascii="Arial" w:hAnsi="Arial" w:cs="Arial"/>
          <w:color w:val="000000"/>
          <w:lang w:val="en-GB"/>
        </w:rPr>
        <w:t xml:space="preserve">® PCR Purification </w:t>
      </w:r>
      <w:proofErr w:type="spellStart"/>
      <w:r w:rsidRPr="00883FC0">
        <w:rPr>
          <w:rFonts w:ascii="Arial" w:hAnsi="Arial" w:cs="Arial"/>
          <w:color w:val="000000"/>
          <w:lang w:val="en-GB"/>
        </w:rPr>
        <w:t>KitQIAGEN</w:t>
      </w:r>
      <w:proofErr w:type="spellEnd"/>
      <w:r w:rsidRPr="00883FC0">
        <w:rPr>
          <w:rFonts w:ascii="Arial" w:hAnsi="Arial" w:cs="Arial"/>
          <w:color w:val="000000"/>
          <w:lang w:val="en-GB"/>
        </w:rPr>
        <w:t xml:space="preserve">) and quantified using a Qubit 2.0 fluorometer (Life Technologies). Next, we pooled the 3 purified DNA pools (ITS2, two </w:t>
      </w:r>
      <w:bookmarkStart w:id="19" w:name="_Hlk151556700"/>
      <w:r w:rsidRPr="00883FC0">
        <w:rPr>
          <w:rFonts w:ascii="Arial" w:hAnsi="Arial" w:cs="Arial"/>
          <w:color w:val="000000"/>
          <w:lang w:val="en-GB"/>
        </w:rPr>
        <w:t>β-tubulin isotype 1</w:t>
      </w:r>
      <w:bookmarkEnd w:id="19"/>
      <w:r w:rsidRPr="00883FC0">
        <w:rPr>
          <w:rFonts w:ascii="Arial" w:hAnsi="Arial" w:cs="Arial"/>
          <w:color w:val="000000"/>
          <w:lang w:val="en-GB"/>
        </w:rPr>
        <w:t>) based on their initial concentration and in proportion according to the following ratio: ITS2 50%, β-tubulin isotype 1 25% for each. According to preliminary tests, we expect</w:t>
      </w:r>
      <w:r w:rsidR="009E3B6C" w:rsidRPr="00883FC0">
        <w:rPr>
          <w:rFonts w:ascii="Arial" w:hAnsi="Arial" w:cs="Arial"/>
          <w:color w:val="000000"/>
          <w:lang w:val="en-GB"/>
        </w:rPr>
        <w:t>ed</w:t>
      </w:r>
      <w:r w:rsidRPr="00883FC0">
        <w:rPr>
          <w:rFonts w:ascii="Arial" w:hAnsi="Arial" w:cs="Arial"/>
          <w:color w:val="000000"/>
          <w:lang w:val="en-GB"/>
        </w:rPr>
        <w:t xml:space="preserve"> to achieve a sequencing depth of 20 000 reads per ITS2 DNA sample and 5 000 reads per β-tubulin isotype 1 DNA sample. Sequencing was performed with pair-end sequencing technology on the Illumina platform (2*250 bp </w:t>
      </w:r>
      <w:proofErr w:type="spellStart"/>
      <w:r w:rsidRPr="00883FC0">
        <w:rPr>
          <w:rFonts w:ascii="Arial" w:hAnsi="Arial" w:cs="Arial"/>
          <w:color w:val="000000"/>
          <w:lang w:val="en-GB"/>
        </w:rPr>
        <w:t>Miseq</w:t>
      </w:r>
      <w:proofErr w:type="spellEnd"/>
      <w:r w:rsidRPr="00883FC0">
        <w:rPr>
          <w:rFonts w:ascii="Arial" w:hAnsi="Arial" w:cs="Arial"/>
          <w:color w:val="000000"/>
          <w:lang w:val="en-GB"/>
        </w:rPr>
        <w:t xml:space="preserve">) at </w:t>
      </w:r>
      <w:proofErr w:type="spellStart"/>
      <w:r w:rsidRPr="00883FC0">
        <w:rPr>
          <w:rFonts w:ascii="Arial" w:hAnsi="Arial" w:cs="Arial"/>
          <w:color w:val="000000"/>
          <w:lang w:val="en-GB"/>
        </w:rPr>
        <w:t>Fasteris</w:t>
      </w:r>
      <w:proofErr w:type="spellEnd"/>
      <w:r w:rsidRPr="00883FC0">
        <w:rPr>
          <w:rFonts w:ascii="Arial" w:hAnsi="Arial" w:cs="Arial"/>
          <w:color w:val="000000"/>
          <w:lang w:val="en-GB"/>
        </w:rPr>
        <w:t>, Geneva, Switzerland.</w:t>
      </w:r>
    </w:p>
    <w:p w14:paraId="0B6F2613" w14:textId="77777777" w:rsidR="006463F4" w:rsidRPr="00883FC0" w:rsidRDefault="006463F4" w:rsidP="00A0712B">
      <w:pPr>
        <w:pStyle w:val="NormalWeb"/>
        <w:spacing w:before="0" w:beforeAutospacing="0" w:after="0" w:afterAutospacing="0" w:line="360" w:lineRule="auto"/>
        <w:jc w:val="both"/>
        <w:rPr>
          <w:rFonts w:ascii="Arial" w:hAnsi="Arial" w:cs="Arial"/>
          <w:color w:val="000000"/>
          <w:lang w:val="en-GB"/>
        </w:rPr>
      </w:pPr>
    </w:p>
    <w:p w14:paraId="42146EAF"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bookmarkStart w:id="20" w:name="_Toc129193243"/>
      <w:r w:rsidRPr="00883FC0">
        <w:rPr>
          <w:rFonts w:ascii="Arial" w:hAnsi="Arial" w:cs="Arial"/>
          <w:i/>
          <w:color w:val="000000" w:themeColor="text1"/>
          <w:sz w:val="28"/>
          <w:szCs w:val="24"/>
          <w:lang w:val="en-US"/>
        </w:rPr>
        <w:t>Sequence analysis and taxon assignation</w:t>
      </w:r>
      <w:bookmarkEnd w:id="20"/>
    </w:p>
    <w:p w14:paraId="24E709DD" w14:textId="77777777" w:rsidR="006463F4" w:rsidRPr="00883FC0" w:rsidRDefault="006463F4" w:rsidP="00A0712B">
      <w:pPr>
        <w:spacing w:after="0" w:line="360" w:lineRule="auto"/>
        <w:rPr>
          <w:rFonts w:ascii="Arial" w:hAnsi="Arial" w:cs="Arial"/>
          <w:sz w:val="24"/>
          <w:szCs w:val="24"/>
          <w:lang w:val="en-US"/>
        </w:rPr>
      </w:pPr>
    </w:p>
    <w:p w14:paraId="54433B9B" w14:textId="2FF4AD41" w:rsidR="00685709" w:rsidRPr="00883FC0" w:rsidRDefault="00685709" w:rsidP="00A0712B">
      <w:pPr>
        <w:pStyle w:val="NormalWeb"/>
        <w:spacing w:before="0" w:beforeAutospacing="0" w:after="0" w:afterAutospacing="0" w:line="360" w:lineRule="auto"/>
        <w:jc w:val="both"/>
        <w:rPr>
          <w:rFonts w:ascii="Arial" w:hAnsi="Arial" w:cs="Arial"/>
          <w:color w:val="000000"/>
          <w:lang w:val="en-GB"/>
        </w:rPr>
      </w:pPr>
      <w:bookmarkStart w:id="21" w:name="_Toc129193244"/>
      <w:r w:rsidRPr="00883FC0">
        <w:rPr>
          <w:rFonts w:ascii="Arial" w:hAnsi="Arial" w:cs="Arial"/>
          <w:color w:val="000000"/>
          <w:lang w:val="en-GB"/>
        </w:rPr>
        <w:t xml:space="preserve">The sequence reads were first </w:t>
      </w:r>
      <w:proofErr w:type="spellStart"/>
      <w:r w:rsidRPr="00883FC0">
        <w:rPr>
          <w:rFonts w:ascii="Arial" w:hAnsi="Arial" w:cs="Arial"/>
          <w:color w:val="000000"/>
          <w:lang w:val="en-GB"/>
        </w:rPr>
        <w:t>analyzed</w:t>
      </w:r>
      <w:proofErr w:type="spellEnd"/>
      <w:r w:rsidRPr="00883FC0">
        <w:rPr>
          <w:rFonts w:ascii="Arial" w:hAnsi="Arial" w:cs="Arial"/>
          <w:color w:val="000000"/>
          <w:lang w:val="en-GB"/>
        </w:rPr>
        <w:t xml:space="preserve"> with the OBITOOLS package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{"citationID":"yCNH8KWP","properties":{"formattedCitation":"(Boyer et al., 2016)","plainCitation":"(Boyer et al., 2016)","noteIndex":0},"citationItems":[{"id":2478,"uris":["http://zotero.org/users/local/NciqjDvn/items/9P6XTXZ8"],"itemData":{"id":2478,"type":"article-journal","abstract":"DNA metabarcoding offers new perspectives in biodiversity research. This recently developed approach to ecosystem study relies heavily on the use of next-generation sequencing (NGS) and thus calls upon the ability to deal with huge sequence data sets. The obitools package satisfies this requirement thanks to a set of programs specifically designed for analysing NGS data in a DNA metabarcoding context. Their capacity to filter and edit sequences while taking into account taxonomic annotation helps to set up tailor-made analysis pipelines for a broad range of DNA metabarcoding applications, including biodiversity surveys or diet analyses. The obitools package is distributed as an open source software available on the following website: http://metabarcoding.org/obitools. A Galaxy wrapper is available on the GenOuest core facility toolshed: http://toolshed.genouest.org.","container-title":"Molecular Ecology Resources","DOI":"10.1111/1755-0998.12428","ISSN":"1755-0998","issue":"1","language":"en","note":"_eprint: https://onlinelibrary.wiley.com/doi/pdf/10.1111/1755-0998.12428","page":"176-182","source":"Wiley Online Library","title":"obitools: a unix-inspired software package for DNA metabarcoding","title-short":"obitools","volume":"16","author":[{"family":"Boyer","given":"Frédéric"},{"family":"Mercier","given":"Céline"},{"family":"Bonin","given":"Aurélie"},{"family":"Le Bras","given":"Yvan"},{"family":"Taberlet","given":"Pierre"},{"family":"Coissac","given":"Eric"}],"issued":{"date-parts":[["2016"]]}}}],"schema":"https://github.com/citation-style-language/schema/raw/master/csl-citation.json"}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(Boyer et al., 2016)</w:t>
      </w:r>
      <w:r w:rsidRPr="00883FC0">
        <w:rPr>
          <w:rFonts w:ascii="Arial" w:hAnsi="Arial" w:cs="Arial"/>
          <w:color w:val="000000"/>
          <w:lang w:val="en-GB"/>
        </w:rPr>
        <w:fldChar w:fldCharType="end"/>
      </w:r>
      <w:r w:rsidRPr="00883FC0">
        <w:rPr>
          <w:rFonts w:ascii="Arial" w:hAnsi="Arial" w:cs="Arial"/>
          <w:color w:val="000000"/>
          <w:lang w:val="en-GB"/>
        </w:rPr>
        <w:t xml:space="preserve">. Forward and reverse reads were assembled with the </w:t>
      </w:r>
      <w:proofErr w:type="spellStart"/>
      <w:r w:rsidRPr="00883FC0">
        <w:rPr>
          <w:rFonts w:ascii="Arial" w:hAnsi="Arial" w:cs="Arial"/>
          <w:i/>
          <w:color w:val="000000"/>
          <w:lang w:val="en-GB"/>
        </w:rPr>
        <w:t>alignpairedend</w:t>
      </w:r>
      <w:proofErr w:type="spellEnd"/>
      <w:r w:rsidRPr="00883FC0">
        <w:rPr>
          <w:rFonts w:ascii="Arial" w:hAnsi="Arial" w:cs="Arial"/>
          <w:color w:val="000000"/>
          <w:lang w:val="en-GB"/>
        </w:rPr>
        <w:t xml:space="preserve"> function, and we kept only sequences with a good score of alignment (</w:t>
      </w:r>
      <w:proofErr w:type="spellStart"/>
      <w:r w:rsidRPr="00883FC0">
        <w:rPr>
          <w:rFonts w:ascii="Arial" w:hAnsi="Arial" w:cs="Arial"/>
          <w:color w:val="000000"/>
          <w:lang w:val="en-GB"/>
        </w:rPr>
        <w:t>rnorm</w:t>
      </w:r>
      <w:proofErr w:type="spellEnd"/>
      <w:r w:rsidRPr="00883FC0">
        <w:rPr>
          <w:rFonts w:ascii="Arial" w:hAnsi="Arial" w:cs="Arial"/>
          <w:color w:val="000000"/>
          <w:lang w:val="en-GB"/>
        </w:rPr>
        <w:t xml:space="preserve">&gt;0.8). Sequences were attributed to their samples with the </w:t>
      </w:r>
      <w:proofErr w:type="spellStart"/>
      <w:r w:rsidRPr="00883FC0">
        <w:rPr>
          <w:rFonts w:ascii="Arial" w:hAnsi="Arial" w:cs="Arial"/>
          <w:i/>
          <w:color w:val="000000"/>
          <w:lang w:val="en-GB"/>
        </w:rPr>
        <w:t>ngsfilter</w:t>
      </w:r>
      <w:proofErr w:type="spellEnd"/>
      <w:r w:rsidRPr="00883FC0">
        <w:rPr>
          <w:rFonts w:ascii="Arial" w:hAnsi="Arial" w:cs="Arial"/>
          <w:color w:val="000000"/>
          <w:lang w:val="en-GB"/>
        </w:rPr>
        <w:t xml:space="preserve"> function with default parameters. Subsequently, assigned sequences were </w:t>
      </w:r>
      <w:proofErr w:type="spellStart"/>
      <w:r w:rsidRPr="00883FC0">
        <w:rPr>
          <w:rFonts w:ascii="Arial" w:hAnsi="Arial" w:cs="Arial"/>
          <w:color w:val="000000"/>
          <w:lang w:val="en-GB"/>
        </w:rPr>
        <w:t>analyzed</w:t>
      </w:r>
      <w:proofErr w:type="spellEnd"/>
      <w:r w:rsidRPr="00883FC0">
        <w:rPr>
          <w:rFonts w:ascii="Arial" w:hAnsi="Arial" w:cs="Arial"/>
          <w:color w:val="000000"/>
          <w:lang w:val="en-GB"/>
        </w:rPr>
        <w:t xml:space="preserve"> with the dada2 package </w:t>
      </w:r>
      <w:r w:rsidRPr="00883FC0">
        <w:rPr>
          <w:rFonts w:ascii="Arial" w:hAnsi="Arial" w:cs="Arial"/>
          <w:lang w:val="en-GB"/>
        </w:rPr>
        <w:fldChar w:fldCharType="begin"/>
      </w:r>
      <w:r w:rsidR="00991FDE" w:rsidRPr="00883FC0">
        <w:rPr>
          <w:rFonts w:ascii="Arial" w:hAnsi="Arial" w:cs="Arial"/>
          <w:lang w:val="en-GB"/>
        </w:rPr>
        <w:instrText xml:space="preserve"> ADDIN ZOTERO_ITEM CSL_CITATION {"citationID":"E5ssRIyk","properties":{"formattedCitation":"(Callahan et al., 2016)","plainCitation":"(Callahan et al., 2016)","noteIndex":0},"citationItems":[{"id":644,"uris":["http://zotero.org/users/local/NciqjDvn/items/PNSRCDQD"],"itemData":{"id":644,"type":"article-journal","abstract":"DADA2 is an open-source software package that denoises and removes sequencing errors from Illumina amplicon sequence data to distinguish microbial sample sequences differing by as little as a single nucleotide.","container-title":"Nature Methods","DOI":"10.1038/nmeth.3869","ISSN":"1548-7105","issue":"7","language":"en","license":"2016 Nature Publishing Group, a division of Macmillan Publishers Limited. All Rights Reserved.","page":"581-583","source":"www.nature.com","title":"DADA2: high-resolution sample inference from Illumina amplicon data","title-short":"DADA2","volume":"13","author":[{"family":"Callahan","given":"Benjamin J."},{"family":"McMurdie","given":"Paul J."},{"family":"Rosen","given":"Michael J."},{"family":"Han","given":"Andrew W."},{"family":"Johnson","given":"Amy Jo A."},{"family":"Holmes","given":"Susan P."}],"issued":{"date-parts":[["2016",7]]}}}],"schema":"https://github.com/citation-style-language/schema/raw/master/csl-citation.json"} </w:instrText>
      </w:r>
      <w:r w:rsidRPr="00883FC0">
        <w:rPr>
          <w:rFonts w:ascii="Arial" w:hAnsi="Arial" w:cs="Arial"/>
          <w:lang w:val="en-GB"/>
        </w:rPr>
        <w:fldChar w:fldCharType="separate"/>
      </w:r>
      <w:r w:rsidR="00991FDE" w:rsidRPr="00883FC0">
        <w:rPr>
          <w:rFonts w:ascii="Arial" w:hAnsi="Arial" w:cs="Arial"/>
          <w:lang w:val="en-US"/>
        </w:rPr>
        <w:t>(Callahan et al., 2016)</w:t>
      </w:r>
      <w:r w:rsidRPr="00883FC0">
        <w:rPr>
          <w:rFonts w:ascii="Arial" w:hAnsi="Arial" w:cs="Arial"/>
          <w:lang w:val="en-GB"/>
        </w:rPr>
        <w:fldChar w:fldCharType="end"/>
      </w:r>
      <w:r w:rsidRPr="00883FC0">
        <w:rPr>
          <w:rFonts w:ascii="Arial" w:hAnsi="Arial" w:cs="Arial"/>
          <w:color w:val="000000"/>
          <w:lang w:val="en-GB"/>
        </w:rPr>
        <w:t xml:space="preserve"> following the pipeline available in </w:t>
      </w:r>
      <w:hyperlink r:id="rId8" w:history="1">
        <w:r w:rsidR="00693DAF" w:rsidRPr="00883FC0">
          <w:rPr>
            <w:rStyle w:val="Lienhypertexte"/>
            <w:rFonts w:ascii="Arial" w:eastAsiaTheme="majorEastAsia" w:hAnsi="Arial" w:cs="Arial"/>
            <w:lang w:val="en-GB"/>
          </w:rPr>
          <w:t>www.nemabiome.ca</w:t>
        </w:r>
      </w:hyperlink>
      <w:r w:rsidRPr="00883FC0">
        <w:rPr>
          <w:rFonts w:ascii="Arial" w:hAnsi="Arial" w:cs="Arial"/>
          <w:color w:val="000000"/>
          <w:lang w:val="en-GB"/>
        </w:rPr>
        <w:t>. The</w:t>
      </w:r>
      <w:r w:rsidRPr="00883FC0">
        <w:rPr>
          <w:rFonts w:ascii="Arial" w:hAnsi="Arial" w:cs="Arial"/>
          <w:i/>
          <w:color w:val="000000"/>
          <w:lang w:val="en-GB"/>
        </w:rPr>
        <w:t xml:space="preserve"> dada2</w:t>
      </w:r>
      <w:r w:rsidRPr="00883FC0">
        <w:rPr>
          <w:rFonts w:ascii="Arial" w:hAnsi="Arial" w:cs="Arial"/>
          <w:color w:val="000000"/>
          <w:lang w:val="en-GB"/>
        </w:rPr>
        <w:t xml:space="preserve"> pipeline returns Amplicon Sequence Variant</w:t>
      </w:r>
      <w:r w:rsidR="00D45527" w:rsidRPr="00883FC0">
        <w:rPr>
          <w:rFonts w:ascii="Arial" w:hAnsi="Arial" w:cs="Arial"/>
          <w:color w:val="000000"/>
          <w:lang w:val="en-GB"/>
        </w:rPr>
        <w:t>s</w:t>
      </w:r>
      <w:r w:rsidRPr="00883FC0">
        <w:rPr>
          <w:rFonts w:ascii="Arial" w:hAnsi="Arial" w:cs="Arial"/>
          <w:color w:val="000000"/>
          <w:lang w:val="en-GB"/>
        </w:rPr>
        <w:t xml:space="preserve"> (ASV) which are sequence variants differing by as little as one nucleotide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{"citationID":"VnkXdpMW","properties":{"formattedCitation":"(Callahan et al., 2017)","plainCitation":"(Callahan et al., 2017)","noteIndex":0},"citationItems":[{"id":903,"uris":["http://zotero.org/users/local/NciqjDvn/items/EF6NY4HG"],"itemData":{"id":903,"type":"article-journal","abstract":"Recent advances have made it possible to analyze high-throughput marker-gene sequencing data without resorting to the customary construction of molecular operational taxonomic units (OTUs): clusters of sequencing reads that differ by less than a fixed dissimilarity threshold. New methods control errors sufficiently such that amplicon sequence variants (ASVs) can be resolved exactly, down to the level of single-nucleotide differences over the sequenced gene region. The benefits of finer resolution are immediately apparent, and arguments for ASV methods have focused on their improved resolution. Less obvious, but we believe more important, are the broad benefits that derive from the status of ASVs as consistent labels with intrinsic biological meaning identified independently from a reference database. Here we discuss how these features grant ASVs the combined advantages of closed-reference OTUs—including computational costs that scale linearly with study size, simple merging between independently processed data sets, and forward prediction—and of de novo OTUs—including accurate measurement of diversity and applicability to communities lacking deep coverage in reference databases. We argue that the improvements in reusability, reproducibility and comprehensiveness are sufficiently great that ASVs should replace OTUs as the standard unit of marker-gene analysis and reporting.","container-title":"The ISME Journal","DOI":"10.1038/ismej.2017.119","ISSN":"1751-7370","issue":"12","language":"en","license":"2017 The Author(s)","page":"2639-2643","source":"www-nature-com.camphrier-1.grenet.fr","title":"Exact sequence variants should replace operational taxonomic units in marker-gene data analysis","volume":"11","author":[{"family":"Callahan","given":"Benjamin J."},{"family":"McMurdie","given":"Paul J."},{"family":"Holmes","given":"Susan P."}],"issued":{"date-parts":[["2017",12]]}}}],"schema":"https://github.com/citation-style-language/schema/raw/master/csl-citation.json"}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(Callahan et al., 2017)</w:t>
      </w:r>
      <w:r w:rsidRPr="00883FC0">
        <w:rPr>
          <w:rFonts w:ascii="Arial" w:hAnsi="Arial" w:cs="Arial"/>
          <w:color w:val="000000"/>
          <w:lang w:val="en-GB"/>
        </w:rPr>
        <w:fldChar w:fldCharType="end"/>
      </w:r>
      <w:r w:rsidRPr="00883FC0">
        <w:rPr>
          <w:rFonts w:ascii="Arial" w:hAnsi="Arial" w:cs="Arial"/>
          <w:color w:val="000000"/>
          <w:lang w:val="en-GB"/>
        </w:rPr>
        <w:t xml:space="preserve">. Following </w:t>
      </w:r>
      <w:r w:rsidRPr="00883FC0">
        <w:rPr>
          <w:rFonts w:ascii="Arial" w:hAnsi="Arial" w:cs="Arial"/>
          <w:color w:val="000000"/>
          <w:lang w:val="en-GB"/>
        </w:rPr>
        <w:fldChar w:fldCharType="begin"/>
      </w:r>
      <w:r w:rsidR="001C5C07" w:rsidRPr="00883FC0">
        <w:rPr>
          <w:rFonts w:ascii="Arial" w:hAnsi="Arial" w:cs="Arial"/>
          <w:color w:val="000000"/>
          <w:lang w:val="en-GB"/>
        </w:rPr>
        <w:instrText xml:space="preserve"> ADDIN ZOTERO_ITEM CSL_CITATION {"citationID":"rTxZUTiI","properties":{"formattedCitation":"(Beaumelle et al., 2021)","plainCitation":"(Beaumelle et al., 2021)","dontUpdate":true,"noteIndex":0},"citationItems":[{"id":2415,"uris":["http://zotero.org/users/local/NciqjDvn/items/LKQL2ARY"],"itemData":{"id":2415,"type":"article-journal","abstract":"Gastrointestinal nematodes are ubiquitous for both domestic and wild ungulates and have varying consequences for health and fitness. They exist as complex communities of multiple co-infecting species, and we have a limited understanding of how these communities vary in different hosts, regions and circumstances or of how this affects their impacts.","container-title":"Parasites &amp; Vectors","DOI":"10.1186/s13071-021-05087-5","ISSN":"1756-3305","issue":"1","journalAbbreviation":"Parasites &amp; Vectors","page":"594","source":"BioMed Central","title":"Metabarcoding in two isolated populations of wild roe deer (&lt;i&gt;Capreolus capreolus&lt;/i&gt;) reveals variation in gastrointestinal nematode community composition between regions and among age classes","volume":"14","author":[{"family":"Beaumelle","given":"Camille"},{"family":"Redman","given":"Elizabeth M."},{"family":"Rijke","given":"Jill","non-dropping-particle":"de"},{"family":"Wit","given":"Janneke"},{"family":"Benabed","given":"Slimania"},{"family":"Debias","given":"François"},{"family":"Duhayer","given":"Jeanne"},{"family":"Pardonnet","given":"Sylvia"},{"family":"Poirel","given":"Marie-Thérèse"},{"family":"Capron","given":"Gilles"},{"family":"Chabot","given":"Stéphane"},{"family":"Rey","given":"Benjamin"},{"family":"Yannic","given":"Glenn"},{"family":"Gilleard","given":"John S."},{"family":"Bourgoin","given":"Gilles"}],"issued":{"date-parts":[["2021",12,4]]}}}],"schema":"https://github.com/citation-style-language/schema/raw/master/csl-citation.json"}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 xml:space="preserve">Beaumelle et al. </w:t>
      </w:r>
      <w:r w:rsidR="0071434E" w:rsidRPr="00883FC0">
        <w:rPr>
          <w:rFonts w:ascii="Arial" w:hAnsi="Arial" w:cs="Arial"/>
          <w:lang w:val="en-US"/>
        </w:rPr>
        <w:t>(</w:t>
      </w:r>
      <w:r w:rsidR="00991FDE" w:rsidRPr="00883FC0">
        <w:rPr>
          <w:rFonts w:ascii="Arial" w:hAnsi="Arial" w:cs="Arial"/>
          <w:lang w:val="en-US"/>
        </w:rPr>
        <w:t>2021)</w:t>
      </w:r>
      <w:r w:rsidRPr="00883FC0">
        <w:rPr>
          <w:rFonts w:ascii="Arial" w:hAnsi="Arial" w:cs="Arial"/>
          <w:color w:val="000000"/>
          <w:lang w:val="en-GB"/>
        </w:rPr>
        <w:fldChar w:fldCharType="end"/>
      </w:r>
      <w:r w:rsidRPr="00883FC0">
        <w:rPr>
          <w:rFonts w:ascii="Arial" w:hAnsi="Arial" w:cs="Arial"/>
          <w:color w:val="000000"/>
          <w:lang w:val="en-GB"/>
        </w:rPr>
        <w:t xml:space="preserve">, gastrointestinal nematodes were identified with </w:t>
      </w:r>
      <w:r w:rsidR="007F5C80" w:rsidRPr="00883FC0">
        <w:rPr>
          <w:rFonts w:ascii="Arial" w:hAnsi="Arial" w:cs="Arial"/>
          <w:color w:val="000000"/>
          <w:lang w:val="en-GB"/>
        </w:rPr>
        <w:t>four</w:t>
      </w:r>
      <w:r w:rsidRPr="00883FC0">
        <w:rPr>
          <w:rFonts w:ascii="Arial" w:hAnsi="Arial" w:cs="Arial"/>
          <w:color w:val="000000"/>
          <w:lang w:val="en-GB"/>
        </w:rPr>
        <w:t xml:space="preserve"> different methods of assignation</w:t>
      </w:r>
      <w:r w:rsidR="007F5C80" w:rsidRPr="00883FC0">
        <w:rPr>
          <w:rFonts w:ascii="Arial" w:hAnsi="Arial" w:cs="Arial"/>
          <w:color w:val="000000"/>
          <w:lang w:val="en-GB"/>
        </w:rPr>
        <w:t>-databases</w:t>
      </w:r>
      <w:r w:rsidRPr="00883FC0">
        <w:rPr>
          <w:rFonts w:ascii="Arial" w:hAnsi="Arial" w:cs="Arial"/>
          <w:color w:val="000000"/>
          <w:lang w:val="en-GB"/>
        </w:rPr>
        <w:t xml:space="preserve">: </w:t>
      </w:r>
      <w:proofErr w:type="spellStart"/>
      <w:r w:rsidRPr="00883FC0">
        <w:rPr>
          <w:rFonts w:ascii="Arial" w:hAnsi="Arial" w:cs="Arial"/>
          <w:color w:val="000000"/>
          <w:lang w:val="en-GB"/>
        </w:rPr>
        <w:t>BLASTn</w:t>
      </w:r>
      <w:proofErr w:type="spellEnd"/>
      <w:r w:rsidRPr="00883FC0">
        <w:rPr>
          <w:rFonts w:ascii="Arial" w:hAnsi="Arial" w:cs="Arial"/>
          <w:color w:val="000000"/>
          <w:lang w:val="en-GB"/>
        </w:rPr>
        <w:t xml:space="preserve"> (Altschul et al., 1990) </w:t>
      </w:r>
      <w:r w:rsidR="0085529F" w:rsidRPr="00883FC0">
        <w:rPr>
          <w:rFonts w:ascii="Arial" w:hAnsi="Arial" w:cs="Arial"/>
          <w:color w:val="000000"/>
          <w:lang w:val="en-GB"/>
        </w:rPr>
        <w:t xml:space="preserve">based on </w:t>
      </w:r>
      <w:r w:rsidR="007F5C80" w:rsidRPr="00883FC0">
        <w:rPr>
          <w:rFonts w:ascii="Arial" w:hAnsi="Arial" w:cs="Arial"/>
          <w:color w:val="000000"/>
          <w:lang w:val="en-GB"/>
        </w:rPr>
        <w:t xml:space="preserve">(1) </w:t>
      </w:r>
      <w:r w:rsidRPr="00883FC0">
        <w:rPr>
          <w:rFonts w:ascii="Arial" w:hAnsi="Arial" w:cs="Arial"/>
          <w:color w:val="000000"/>
          <w:lang w:val="en-GB"/>
        </w:rPr>
        <w:t>the NCBI database (</w:t>
      </w:r>
      <w:r w:rsidR="0085529F" w:rsidRPr="00883FC0">
        <w:rPr>
          <w:rFonts w:ascii="Arial" w:hAnsi="Arial" w:cs="Arial"/>
          <w:color w:val="000000"/>
          <w:lang w:val="en-GB"/>
        </w:rPr>
        <w:t xml:space="preserve">Accessed: </w:t>
      </w:r>
      <w:r w:rsidRPr="00883FC0">
        <w:rPr>
          <w:rFonts w:ascii="Arial" w:hAnsi="Arial" w:cs="Arial"/>
          <w:color w:val="000000"/>
          <w:lang w:val="en-GB"/>
        </w:rPr>
        <w:t xml:space="preserve">November 2022), and </w:t>
      </w:r>
      <w:r w:rsidR="007F5C80" w:rsidRPr="00883FC0">
        <w:rPr>
          <w:rFonts w:ascii="Arial" w:hAnsi="Arial" w:cs="Arial"/>
          <w:color w:val="000000"/>
          <w:lang w:val="en-GB"/>
        </w:rPr>
        <w:t xml:space="preserve">(2) </w:t>
      </w:r>
      <w:r w:rsidRPr="00883FC0">
        <w:rPr>
          <w:rFonts w:ascii="Arial" w:hAnsi="Arial" w:cs="Arial"/>
          <w:color w:val="000000"/>
          <w:lang w:val="en-GB"/>
        </w:rPr>
        <w:t xml:space="preserve">AssignTaxonomy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{"citationID":"a2iltt218ci","properties":{"formattedCitation":"(Callahan et al., 2016; Wang et al., 2007)","plainCitation":"(Callahan et al., 2016; Wang et al., 2007)","noteIndex":0},"citationItems":[{"id":644,"uris":["http://zotero.org/users/local/NciqjDvn/items/PNSRCDQD"],"itemData":{"id":644,"type":"article-journal","abstract":"DADA2 is an open-source software package that denoises and removes sequencing errors from Illumina amplicon sequence data to distinguish microbial sample sequences differing by as little as a single nucleotide.","container-title":"Nature Methods","DOI":"10.1038/nmeth.3869","ISSN":"1548-7105","issue":"7","language":"en","license":"2016 Nature Publishing Group, a division of Macmillan Publishers Limited. All Rights Reserved.","page":"581-583","source":"www.nature.com","title":"DADA2: high-resolution sample inference from Illumina amplicon data","title-short":"DADA2","volume":"13","author":[{"family":"Callahan","given":"Benjamin J."},{"family":"McMurdie","given":"Paul J."},{"family":"Rosen","given":"Michael J."},{"family":"Han","given":"Andrew W."},{"family":"Johnson","given":"Amy Jo A."},{"family":"Holmes","given":"Susan P."}],"issued":{"date-parts":[["2016",7]]}}},{"id":1053,"uris":["http://zotero.org/users/local/NciqjDvn/items/8RBLQ496",["http://zotero.org/users/local/NciqjDvn/items/8RBLQ496"]],"itemData":{"id":1053,"type":"article-journal","abstract":"The Ribosomal Database Project (RDP) Classifier, a naïve Bayesian classifier, can rapidly and accurately classify bacterial 16S rRNA sequences into the new higher-order taxonomy proposed in Bergey's Taxonomic Outline of the Prokaryotes (2nd ed., release 5.0, Springer-Verlag, New York, NY, 2004). It provides taxonomic assignments from domain to genus, with confidence estimates for each assignment. The majority of classifications (98%) were of high estimated confidence (≥95%) and high accuracy (98%). In addition to being tested with the corpus of 5,014 type strain sequences from Bergey's outline, the RDP Classifier was tested with a corpus of 23,095 rRNA sequences as assigned by the NCBI into their alternative higher-order taxonomy. The results from leave-one-out testing on both corpora show that the overall accuracies at all levels of confidence for near-full-length and 400-base segments were 89% or above down to the genus level, and the majority of the classification errors appear to be due to anomalies in the current taxonomies. For shorter rRNA segments, such as those that might be generated by pyrosequencing, the error rate varied greatly over the length of the 16S rRNA gene, with segments around the V2 and V4 variable regions giving the lowest error rates. The RDP Classifier is suitable both for the analysis of single rRNA sequences and for the analysis of libraries of thousands of sequences. Another related tool, RDP Library Compare, was developed to facilitate microbial-community comparison based on 16S rRNA gene sequence libraries. It combines the RDP Classifier with a statistical test to flag taxa differentially represented between samples. The RDP Classifier and RDP Library Compare are available online at http://rdp.cme.msu.edu/ .","container-title":"Applied and Environmental Microbiology","DOI":"10.1128/AEM.00062-07","ISSN":"0099-2240, 1098-5336","issue":"16","journalAbbreviation":"Appl. Environ. Microbiol.","language":"en","license":"Copyright © 2007 American Society for Microbiology","page":"5261-5267","source":"aem.asm.org","title":"Naïve bayesian classifier for rapid assignment of rRNA sequences into the new bacterial taxonomy","volume":"73","author":[{"family":"Wang","given":"Qiong"},{"family":"Garrity","given":"George M."},{"family":"Tiedje","given":"James M."},{"family":"Cole","given":"James R."}],"issued":{"date-parts":[["2007",8,15]]}}}],"schema":"https://github.com/citation-style-language/schema/raw/master/csl-citation.json"}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(Callahan et al., 2016; Wang et al., 2007)</w:t>
      </w:r>
      <w:r w:rsidRPr="00883FC0">
        <w:rPr>
          <w:rFonts w:ascii="Arial" w:hAnsi="Arial" w:cs="Arial"/>
          <w:color w:val="000000"/>
          <w:lang w:val="en-GB"/>
        </w:rPr>
        <w:fldChar w:fldCharType="end"/>
      </w:r>
      <w:r w:rsidRPr="00883FC0">
        <w:rPr>
          <w:rFonts w:ascii="Arial" w:hAnsi="Arial" w:cs="Arial"/>
          <w:color w:val="000000"/>
          <w:lang w:val="en-GB"/>
        </w:rPr>
        <w:t xml:space="preserve"> </w:t>
      </w:r>
      <w:r w:rsidRPr="00883FC0">
        <w:rPr>
          <w:rFonts w:ascii="Arial" w:hAnsi="Arial" w:cs="Arial"/>
          <w:color w:val="000000"/>
          <w:lang w:val="en-GB"/>
        </w:rPr>
        <w:lastRenderedPageBreak/>
        <w:t xml:space="preserve">and </w:t>
      </w:r>
      <w:r w:rsidR="007F5C80" w:rsidRPr="00883FC0">
        <w:rPr>
          <w:rFonts w:ascii="Arial" w:hAnsi="Arial" w:cs="Arial"/>
          <w:color w:val="000000"/>
          <w:lang w:val="en-GB"/>
        </w:rPr>
        <w:t xml:space="preserve">(3) </w:t>
      </w:r>
      <w:r w:rsidRPr="00883FC0">
        <w:rPr>
          <w:rFonts w:ascii="Arial" w:hAnsi="Arial" w:cs="Arial"/>
          <w:color w:val="000000"/>
          <w:lang w:val="en-GB"/>
        </w:rPr>
        <w:t>IDTaxa</w:t>
      </w:r>
      <w:r w:rsidR="00693DAF" w:rsidRPr="00883FC0">
        <w:rPr>
          <w:rFonts w:ascii="Arial" w:hAnsi="Arial" w:cs="Arial"/>
          <w:color w:val="000000"/>
          <w:lang w:val="en-GB"/>
        </w:rPr>
        <w:t xml:space="preserve"> </w:t>
      </w:r>
      <w:r w:rsidR="00693DAF"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{"citationID":"OGD75t3z","properties":{"formattedCitation":"(Murali et al., 2018)","plainCitation":"(Murali et al., 2018)","noteIndex":0},"citationItems":[{"id":909,"uris":["http://zotero.org/users/local/NciqjDvn/items/I56WBTZN"],"itemData":{"id":909,"type":"article-journal","abstract":"Microbiome studies often involve sequencing a marker gene to identify the microorganisms in samples of interest. Sequence classification is a critical component of this process, whereby sequences are assigned to a reference taxonomy containing known sequence representatives of many microbial groups. Previous studies have shown that existing classification programs often assign sequences to reference groups even if they belong to novel taxonomic groups that are absent from the reference taxonomy. This high rate of “over classification” is particularly detrimental in microbiome studies because reference taxonomies are far from comprehensive.","container-title":"Microbiome","DOI":"10.1186/s40168-018-0521-5","ISSN":"2049-2618","issue":"1","journalAbbreviation":"Microbiome","page":"140","source":"BioMed Central","title":"IDTAXA: a novel approach for accurate taxonomic classification of microbiome sequences","title-short":"IDTAXA","volume":"6","author":[{"family":"Murali","given":"Adithya"},{"family":"Bhargava","given":"Aniruddha"},{"family":"Wright","given":"Erik S."}],"issued":{"date-parts":[["2018",8,9]]}}}],"schema":"https://github.com/citation-style-language/schema/raw/master/csl-citation.json"} </w:instrText>
      </w:r>
      <w:r w:rsidR="00693DAF" w:rsidRPr="00883FC0">
        <w:rPr>
          <w:rFonts w:ascii="Arial" w:hAnsi="Arial" w:cs="Arial"/>
          <w:color w:val="000000"/>
          <w:lang w:val="en-GB"/>
        </w:rPr>
        <w:fldChar w:fldCharType="separate"/>
      </w:r>
      <w:r w:rsidR="00991FDE" w:rsidRPr="00883FC0">
        <w:rPr>
          <w:rFonts w:ascii="Arial" w:hAnsi="Arial" w:cs="Arial"/>
          <w:lang w:val="en-US"/>
        </w:rPr>
        <w:t>(Murali et al., 2018)</w:t>
      </w:r>
      <w:r w:rsidR="00693DAF" w:rsidRPr="00883FC0">
        <w:rPr>
          <w:rFonts w:ascii="Arial" w:hAnsi="Arial" w:cs="Arial"/>
          <w:color w:val="000000"/>
          <w:lang w:val="en-GB"/>
        </w:rPr>
        <w:fldChar w:fldCharType="end"/>
      </w:r>
      <w:r w:rsidR="00693DAF" w:rsidRPr="00883FC0">
        <w:rPr>
          <w:rFonts w:ascii="Arial" w:hAnsi="Arial" w:cs="Arial"/>
          <w:color w:val="000000"/>
          <w:lang w:val="en-GB"/>
        </w:rPr>
        <w:t xml:space="preserve"> </w:t>
      </w:r>
      <w:r w:rsidR="0085529F" w:rsidRPr="00883FC0">
        <w:rPr>
          <w:rFonts w:ascii="Arial" w:hAnsi="Arial" w:cs="Arial"/>
          <w:color w:val="000000"/>
          <w:lang w:val="en-GB"/>
        </w:rPr>
        <w:t xml:space="preserve">based on </w:t>
      </w:r>
      <w:r w:rsidRPr="00883FC0">
        <w:rPr>
          <w:rFonts w:ascii="Arial" w:hAnsi="Arial" w:cs="Arial"/>
          <w:color w:val="000000"/>
          <w:lang w:val="en-GB"/>
        </w:rPr>
        <w:t xml:space="preserve">the nematode ITS2 rDNA database 1.1.0 </w:t>
      </w:r>
      <w:r w:rsidR="00693DAF"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{"citationID":"GbaVOOGz","properties":{"formattedCitation":"(Workentine et al., 2020)","plainCitation":"(Workentine et al., 2020)","noteIndex":0},"citationItems":[{"id":1386,"uris":["http://zotero.org/users/local/NciqjDvn/items/FSW4V365"],"itemData":{"id":1386,"type":"article-journal","abstract":"Marker gene surveys have a wide variety of applications in species identification, population genetics, and molecular epidemiology. As these methods expand to new types of organisms and additional markers beyond 16S and 18S rRNA genes, comprehensive databases are a critical requirement for proper analysis of these data.","container-title":"BMC Genetics","DOI":"10.1186/s12863-020-00880-0","ISSN":"1471-2156","issue":"1","journalAbbreviation":"BMC Genet.","page":"74","source":"BioMed Central","title":"A database for ITS2 sequences from nematodes","volume":"21","author":[{"family":"Workentine","given":"Matthew L."},{"family":"Chen","given":"Rebecca"},{"family":"Zhu","given":"Shawna"},{"family":"Gavriliuc","given":"Stefan"},{"family":"Shaw","given":"Nicolette"},{"family":"Rijke","given":"Jill","dropping-particle":"de"},{"family":"Redman","given":"Elizabeth M."},{"family":"Avramenko","given":"Russell W."},{"family":"Wit","given":"Janneke"},{"family":"Poissant","given":"Jocelyn"},{"family":"Gilleard","given":"John S."}],"issued":{"date-parts":[["2020",7,10]]}}}],"schema":"https://github.com/citation-style-language/schema/raw/master/csl-citation.json"} </w:instrText>
      </w:r>
      <w:r w:rsidR="00693DAF" w:rsidRPr="00883FC0">
        <w:rPr>
          <w:rFonts w:ascii="Arial" w:hAnsi="Arial" w:cs="Arial"/>
          <w:color w:val="000000"/>
          <w:lang w:val="en-GB"/>
        </w:rPr>
        <w:fldChar w:fldCharType="separate"/>
      </w:r>
      <w:r w:rsidR="00991FDE" w:rsidRPr="00883FC0">
        <w:rPr>
          <w:rFonts w:ascii="Arial" w:hAnsi="Arial" w:cs="Arial"/>
          <w:lang w:val="en-US"/>
        </w:rPr>
        <w:t>(Workentine et al., 2020)</w:t>
      </w:r>
      <w:r w:rsidR="00693DAF" w:rsidRPr="00883FC0">
        <w:rPr>
          <w:rFonts w:ascii="Arial" w:hAnsi="Arial" w:cs="Arial"/>
          <w:color w:val="000000"/>
          <w:lang w:val="en-GB"/>
        </w:rPr>
        <w:fldChar w:fldCharType="end"/>
      </w:r>
      <w:r w:rsidR="007F5C80" w:rsidRPr="00883FC0">
        <w:rPr>
          <w:rFonts w:ascii="Arial" w:hAnsi="Arial" w:cs="Arial"/>
          <w:color w:val="000000"/>
          <w:lang w:val="en-GB"/>
        </w:rPr>
        <w:t>. To identify the species associated with the β-tubulin sequences, we used IDTaxa against</w:t>
      </w:r>
      <w:r w:rsidRPr="00883FC0">
        <w:rPr>
          <w:rFonts w:ascii="Arial" w:hAnsi="Arial" w:cs="Arial"/>
          <w:color w:val="000000"/>
          <w:lang w:val="en-GB"/>
        </w:rPr>
        <w:t xml:space="preserve"> the nematode β-tubulin isotype 1 DNA reference sequence</w:t>
      </w:r>
      <w:r w:rsidR="007F5C80" w:rsidRPr="00883FC0">
        <w:rPr>
          <w:rFonts w:ascii="Arial" w:hAnsi="Arial" w:cs="Arial"/>
          <w:color w:val="000000"/>
          <w:lang w:val="en-GB"/>
        </w:rPr>
        <w:t>s</w:t>
      </w:r>
      <w:r w:rsidRPr="00883FC0">
        <w:rPr>
          <w:rFonts w:ascii="Arial" w:hAnsi="Arial" w:cs="Arial"/>
          <w:color w:val="000000"/>
          <w:lang w:val="en-GB"/>
        </w:rPr>
        <w:t xml:space="preserve"> supplied in </w:t>
      </w:r>
      <w:r w:rsidRPr="00883FC0">
        <w:rPr>
          <w:rFonts w:ascii="Arial" w:hAnsi="Arial" w:cs="Arial"/>
          <w:color w:val="000000"/>
          <w:lang w:val="en-GB"/>
        </w:rPr>
        <w:fldChar w:fldCharType="begin"/>
      </w:r>
      <w:r w:rsidR="001C5C07" w:rsidRPr="00883FC0">
        <w:rPr>
          <w:rFonts w:ascii="Arial" w:hAnsi="Arial" w:cs="Arial"/>
          <w:color w:val="000000"/>
          <w:lang w:val="en-GB"/>
        </w:rPr>
        <w:instrText xml:space="preserve"> ADDIN ZOTERO_ITEM CSL_CITATION {"citationID":"9qh3eWUk","properties":{"formattedCitation":"(Avramenko et al., 2019)","plainCitation":"(Avramenko et al., 2019)","dontUpdate":true,"noteIndex":0},"citationItems":[{"id":578,"uris":["http://zotero.org/users/local/NciqjDvn/items/NXNZT3CS"],"itemData":{"id":578,"type":"article-journal","abstract":"Parasitic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 xml:space="preserve">Avramenko et al., </w:t>
      </w:r>
      <w:r w:rsidR="0071434E" w:rsidRPr="00883FC0">
        <w:rPr>
          <w:rFonts w:ascii="Arial" w:hAnsi="Arial" w:cs="Arial"/>
          <w:lang w:val="en-US"/>
        </w:rPr>
        <w:t>(</w:t>
      </w:r>
      <w:r w:rsidR="00991FDE" w:rsidRPr="00883FC0">
        <w:rPr>
          <w:rFonts w:ascii="Arial" w:hAnsi="Arial" w:cs="Arial"/>
          <w:lang w:val="en-US"/>
        </w:rPr>
        <w:t>2019)</w:t>
      </w:r>
      <w:r w:rsidRPr="00883FC0">
        <w:rPr>
          <w:rFonts w:ascii="Arial" w:hAnsi="Arial" w:cs="Arial"/>
          <w:color w:val="000000"/>
          <w:lang w:val="en-GB"/>
        </w:rPr>
        <w:fldChar w:fldCharType="end"/>
      </w:r>
      <w:r w:rsidRPr="00883FC0">
        <w:rPr>
          <w:rFonts w:ascii="Arial" w:hAnsi="Arial" w:cs="Arial"/>
          <w:color w:val="000000"/>
          <w:lang w:val="en-GB"/>
        </w:rPr>
        <w:t>. We chose to attribute a confidence level to taxonomic identification</w:t>
      </w:r>
      <w:r w:rsidR="00D63DFD" w:rsidRPr="00883FC0">
        <w:rPr>
          <w:rFonts w:ascii="Arial" w:hAnsi="Arial" w:cs="Arial"/>
          <w:color w:val="000000"/>
          <w:lang w:val="en-GB"/>
        </w:rPr>
        <w:t>s</w:t>
      </w:r>
      <w:r w:rsidRPr="00883FC0">
        <w:rPr>
          <w:rFonts w:ascii="Arial" w:hAnsi="Arial" w:cs="Arial"/>
          <w:color w:val="000000"/>
          <w:lang w:val="en-GB"/>
        </w:rPr>
        <w:t xml:space="preserve"> at </w:t>
      </w:r>
      <w:r w:rsidR="00D63DFD" w:rsidRPr="00883FC0">
        <w:rPr>
          <w:rFonts w:ascii="Arial" w:hAnsi="Arial" w:cs="Arial"/>
          <w:color w:val="000000"/>
          <w:lang w:val="en-GB"/>
        </w:rPr>
        <w:t xml:space="preserve">the </w:t>
      </w:r>
      <w:r w:rsidRPr="00883FC0">
        <w:rPr>
          <w:rFonts w:ascii="Arial" w:hAnsi="Arial" w:cs="Arial"/>
          <w:color w:val="000000"/>
          <w:lang w:val="en-GB"/>
        </w:rPr>
        <w:t>species level: high or moderate confidence if three or two methods of assignation, respectively, were congru</w:t>
      </w:r>
      <w:r w:rsidR="001B5371" w:rsidRPr="00883FC0">
        <w:rPr>
          <w:rFonts w:ascii="Arial" w:hAnsi="Arial" w:cs="Arial"/>
          <w:color w:val="000000"/>
          <w:lang w:val="en-GB"/>
        </w:rPr>
        <w:t>ent</w:t>
      </w:r>
      <w:r w:rsidRPr="00883FC0">
        <w:rPr>
          <w:rFonts w:ascii="Arial" w:hAnsi="Arial" w:cs="Arial"/>
          <w:color w:val="000000"/>
          <w:lang w:val="en-GB"/>
        </w:rPr>
        <w:t xml:space="preserve">. We also adjusted the sequence filtering based on an adapted procedure of </w:t>
      </w:r>
      <w:r w:rsidRPr="00883FC0">
        <w:rPr>
          <w:rFonts w:ascii="Arial" w:hAnsi="Arial" w:cs="Arial"/>
          <w:color w:val="000000"/>
          <w:lang w:val="en-GB"/>
        </w:rPr>
        <w:fldChar w:fldCharType="begin"/>
      </w:r>
      <w:r w:rsidR="001C5C07" w:rsidRPr="00883FC0">
        <w:rPr>
          <w:rFonts w:ascii="Arial" w:hAnsi="Arial" w:cs="Arial"/>
          <w:color w:val="000000"/>
          <w:lang w:val="en-GB"/>
        </w:rPr>
        <w:instrText xml:space="preserve"> ADDIN ZOTERO_ITEM CSL_CITATION {"citationID":"UvpjH6FV","properties":{"formattedCitation":"(Calder\\uc0\\u243{}n\\uc0\\u8208{}Sanou et al., 2020)","plainCitation":"(Calderón</w:instrText>
      </w:r>
      <w:r w:rsidR="001C5C07" w:rsidRPr="00883FC0">
        <w:rPr>
          <w:rFonts w:ascii="Cambria Math" w:hAnsi="Cambria Math" w:cs="Cambria Math"/>
          <w:color w:val="000000"/>
          <w:lang w:val="en-GB"/>
        </w:rPr>
        <w:instrText>‐</w:instrText>
      </w:r>
      <w:r w:rsidR="001C5C07" w:rsidRPr="00883FC0">
        <w:rPr>
          <w:rFonts w:ascii="Arial" w:hAnsi="Arial" w:cs="Arial"/>
          <w:color w:val="000000"/>
          <w:lang w:val="en-GB"/>
        </w:rPr>
        <w:instrText>Sanou et al., 2020)","dontUpdate":true,"noteIndex":0},"citationItems":[{"id":872,"uris":["http://zotero.org/users/local/NciqjDvn/items/YZ7Q6JSY"],"itemData":{"id":872,"type":"article-journal","abstract":"Aim Environmental DNA (eDNA) is increasingly used for analysing and modelling all-inclusive biodiversity patterns. However, the reliability of eDNA-based diversity estimates is commonly compromised by arbitrary decisions for curating the data from molecular artefacts. Here, we test the sensitivity of common ecological analyses to these curation steps, and identify the crucial ones to draw sound ecological conclusions. Location Valloire, French Alps. Taxon Vascular plants and fungi. Methods Using soil eDNA metabarcoding data for plants and fungi from 20 plots sampled along a 1000-m elevational gradient, we tested how the conclusions from three types of ecological analyses: (a) the spatial partitioning of diversity, (b) the diversity–environment relationship, and (c) the distance–decay relationship, are robust to data curation steps. Since eDNA metabarcoding data also comprise erroneous sequences with low frequencies, diversity estimates were further calculated using abundance-based Hill numbers, which penalize rare sequences through a scaling parameter, namely the order of diversity q (Richness with q = 0, Shannon diversity with q 1, Simpson diversity with q = 2). Results We showed that results from different ecological analyses had varying degrees of sensitivity to data curation strategies and that the use of Shannon and Simpson diversities led to more reliable results. We demonstrated that molecular operational taxonomic unit clustering, removal of polymerase chain reaction errors and of cross-sample contaminations had major impacts on ecological analyses. Main conclusions In the Era of Big Data, eDNA metabarcoding is going to be one of the major tools to describe, model and predict biodiversity in space and time. However, ignoring crucial data curation steps will impede the robustness of several ecological conclusions. Here, we propose a roadmap of crucial curation steps for different types of ecological analyses.","container-title":"Journal of Biogeography","DOI":"10.1111/jbi.13681","ISSN":"1365-2699","issue":"1","language":"en","license":"© 2020 John Wiley &amp; Sons Ltd","note":"_eprint: https://onlinelibrary.wiley.com/doi/pdf/10.1111/jbi.13681","page":"193-206","source":"Wiley Online Library","title":"From environmental DNA sequences to ecological conclusions: how strong is the influence of methodological choices?","title-short":"From environmental DNA sequences to ecological conclusions","volume":"47","author":[{"family":"Calderón</w:instrText>
      </w:r>
      <w:r w:rsidR="001C5C07" w:rsidRPr="00883FC0">
        <w:rPr>
          <w:rFonts w:ascii="Cambria Math" w:hAnsi="Cambria Math" w:cs="Cambria Math"/>
          <w:color w:val="000000"/>
          <w:lang w:val="en-GB"/>
        </w:rPr>
        <w:instrText>‐</w:instrText>
      </w:r>
      <w:r w:rsidR="001C5C07" w:rsidRPr="00883FC0">
        <w:rPr>
          <w:rFonts w:ascii="Arial" w:hAnsi="Arial" w:cs="Arial"/>
          <w:color w:val="000000"/>
          <w:lang w:val="en-GB"/>
        </w:rPr>
        <w:instrText xml:space="preserve">Sanou","given":"Irene"},{"family":"Münkemüller","given":"Tamara"},{"family":"Boyer","given":"Frédéric"},{"family":"Zinger","given":"Lucie"},{"family":"Thuiller","given":"Wilfried"}],"issued":{"date-parts":[["2020"]]}}}],"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Calderón</w:t>
      </w:r>
      <w:r w:rsidR="00991FDE" w:rsidRPr="00883FC0">
        <w:rPr>
          <w:rFonts w:ascii="Cambria Math" w:hAnsi="Cambria Math" w:cs="Cambria Math"/>
          <w:lang w:val="en-US"/>
        </w:rPr>
        <w:t>‐</w:t>
      </w:r>
      <w:r w:rsidR="00991FDE" w:rsidRPr="00883FC0">
        <w:rPr>
          <w:rFonts w:ascii="Arial" w:hAnsi="Arial" w:cs="Arial"/>
          <w:lang w:val="en-US"/>
        </w:rPr>
        <w:t xml:space="preserve">Sanou et al. </w:t>
      </w:r>
      <w:r w:rsidR="0071434E" w:rsidRPr="00883FC0">
        <w:rPr>
          <w:rFonts w:ascii="Arial" w:hAnsi="Arial" w:cs="Arial"/>
          <w:lang w:val="en-US"/>
        </w:rPr>
        <w:t>(</w:t>
      </w:r>
      <w:r w:rsidR="00991FDE" w:rsidRPr="00883FC0">
        <w:rPr>
          <w:rFonts w:ascii="Arial" w:hAnsi="Arial" w:cs="Arial"/>
          <w:lang w:val="en-US"/>
        </w:rPr>
        <w:t>2020)</w:t>
      </w:r>
      <w:r w:rsidRPr="00883FC0">
        <w:rPr>
          <w:rFonts w:ascii="Arial" w:hAnsi="Arial" w:cs="Arial"/>
          <w:color w:val="000000"/>
          <w:lang w:val="en-GB"/>
        </w:rPr>
        <w:fldChar w:fldCharType="end"/>
      </w:r>
      <w:r w:rsidRPr="00883FC0">
        <w:rPr>
          <w:rFonts w:ascii="Arial" w:hAnsi="Arial" w:cs="Arial"/>
          <w:color w:val="000000"/>
          <w:lang w:val="en-GB"/>
        </w:rPr>
        <w:t>. We kept only ASVs present in at least 2 replicates of the same sampl</w:t>
      </w:r>
      <w:r w:rsidR="007C0A2B" w:rsidRPr="00883FC0">
        <w:rPr>
          <w:rFonts w:ascii="Arial" w:hAnsi="Arial" w:cs="Arial"/>
          <w:color w:val="000000"/>
          <w:lang w:val="en-GB"/>
        </w:rPr>
        <w:t>e</w:t>
      </w:r>
      <w:r w:rsidRPr="00883FC0">
        <w:rPr>
          <w:rFonts w:ascii="Arial" w:hAnsi="Arial" w:cs="Arial"/>
          <w:color w:val="000000"/>
          <w:lang w:val="en-GB"/>
        </w:rPr>
        <w:t xml:space="preserve"> and removed ASVs that were not assigned to</w:t>
      </w:r>
      <w:r w:rsidR="00D63DFD" w:rsidRPr="00883FC0">
        <w:rPr>
          <w:rFonts w:ascii="Arial" w:hAnsi="Arial" w:cs="Arial"/>
          <w:color w:val="000000"/>
          <w:lang w:val="en-GB"/>
        </w:rPr>
        <w:t xml:space="preserve"> the</w:t>
      </w:r>
      <w:r w:rsidRPr="00883FC0">
        <w:rPr>
          <w:rFonts w:ascii="Arial" w:hAnsi="Arial" w:cs="Arial"/>
          <w:color w:val="000000"/>
          <w:lang w:val="en-GB"/>
        </w:rPr>
        <w:t xml:space="preserve"> genus level for the ITS2 and </w:t>
      </w:r>
      <w:r w:rsidR="00D63DFD" w:rsidRPr="00883FC0">
        <w:rPr>
          <w:rFonts w:ascii="Arial" w:hAnsi="Arial" w:cs="Arial"/>
          <w:color w:val="000000"/>
          <w:lang w:val="en-GB"/>
        </w:rPr>
        <w:t xml:space="preserve">to the </w:t>
      </w:r>
      <w:r w:rsidRPr="00883FC0">
        <w:rPr>
          <w:rFonts w:ascii="Arial" w:hAnsi="Arial" w:cs="Arial"/>
          <w:color w:val="000000"/>
          <w:lang w:val="en-GB"/>
        </w:rPr>
        <w:t xml:space="preserve">species level for β-tubulin isotype 1. We removed potential contaminants (reagent contaminants and cross-contaminations) following the procedure detailed in </w:t>
      </w:r>
      <w:r w:rsidR="00693DAF" w:rsidRPr="00883FC0">
        <w:rPr>
          <w:rFonts w:ascii="Arial" w:hAnsi="Arial" w:cs="Arial"/>
          <w:color w:val="000000"/>
          <w:lang w:val="en-GB"/>
        </w:rPr>
        <w:fldChar w:fldCharType="begin"/>
      </w:r>
      <w:r w:rsidR="001C5C07" w:rsidRPr="00883FC0">
        <w:rPr>
          <w:rFonts w:ascii="Arial" w:hAnsi="Arial" w:cs="Arial"/>
          <w:color w:val="000000"/>
          <w:lang w:val="en-GB"/>
        </w:rPr>
        <w:instrText xml:space="preserve"> ADDIN ZOTERO_ITEM CSL_CITATION {"citationID":"268nwwIT","properties":{"formattedCitation":"(Calder\\uc0\\u243{}n\\uc0\\u8208{}Sanou et al., 2020)","plainCitation":"(Calderón</w:instrText>
      </w:r>
      <w:r w:rsidR="001C5C07" w:rsidRPr="00883FC0">
        <w:rPr>
          <w:rFonts w:ascii="Cambria Math" w:hAnsi="Cambria Math" w:cs="Cambria Math"/>
          <w:color w:val="000000"/>
          <w:lang w:val="en-GB"/>
        </w:rPr>
        <w:instrText>‐</w:instrText>
      </w:r>
      <w:r w:rsidR="001C5C07" w:rsidRPr="00883FC0">
        <w:rPr>
          <w:rFonts w:ascii="Arial" w:hAnsi="Arial" w:cs="Arial"/>
          <w:color w:val="000000"/>
          <w:lang w:val="en-GB"/>
        </w:rPr>
        <w:instrText>Sanou et al., 2020)","dontUpdate":true,"noteIndex":0},"citationItems":[{"id":872,"uris":["http://zotero.org/users/local/NciqjDvn/items/YZ7Q6JSY"],"itemData":{"id":872,"type":"article-journal","abstract":"Aim Environmental DNA (eDNA) is increasingly used for analysing and modelling all-inclusive biodiversity patterns. However, the reliability of eDNA-based diversity estimates is commonly compromised by arbitrary decisions for curating the data from molecular artefacts. Here, we test the sensitivity of common ecological analyses to these curation steps, and identify the crucial ones to draw sound ecological conclusions. Location Valloire, French Alps. Taxon Vascular plants and fungi. Methods Using soil eDNA metabarcoding data for plants and fungi from 20 plots sampled along a 1000-m elevational gradient, we tested how the conclusions from three types of ecological analyses: (a) the spatial partitioning of diversity, (b) the diversity–environment relationship, and (c) the distance–decay relationship, are robust to data curation steps. Since eDNA metabarcoding data also comprise erroneous sequences with low frequencies, diversity estimates were further calculated using abundance-based Hill numbers, which penalize rare sequences through a scaling parameter, namely the order of diversity q (Richness with q = 0, Shannon diversity with q 1, Simpson diversity with q = 2). Results We showed that results from different ecological analyses had varying degrees of sensitivity to data curation strategies and that the use of Shannon and Simpson diversities led to more reliable results. We demonstrated that molecular operational taxonomic unit clustering, removal of polymerase chain reaction errors and of cross-sample contaminations had major impacts on ecological analyses. Main conclusions In the Era of Big Data, eDNA metabarcoding is going to be one of the major tools to describe, model and predict biodiversity in space and time. However, ignoring crucial data curation steps will impede the robustness of several ecological conclusions. Here, we propose a roadmap of crucial curation steps for different types of ecological analyses.","container-title":"Journal of Biogeography","DOI":"10.1111/jbi.13681","ISSN":"1365-2699","issue":"1","language":"en","license":"© 2020 John Wiley &amp; Sons Ltd","note":"_eprint: https://onlinelibrary.wiley.com/doi/pdf/10.1111/jbi.13681","page":"193-206","source":"Wiley Online Library","title":"From environmental DNA sequences to ecological conclusions: how strong is the influence of methodological choices?","title-short":"From environmental DNA sequences to ecological conclusions","volume":"47","author":[{"family":"Calderón</w:instrText>
      </w:r>
      <w:r w:rsidR="001C5C07" w:rsidRPr="00883FC0">
        <w:rPr>
          <w:rFonts w:ascii="Cambria Math" w:hAnsi="Cambria Math" w:cs="Cambria Math"/>
          <w:color w:val="000000"/>
          <w:lang w:val="en-GB"/>
        </w:rPr>
        <w:instrText>‐</w:instrText>
      </w:r>
      <w:r w:rsidR="001C5C07" w:rsidRPr="00883FC0">
        <w:rPr>
          <w:rFonts w:ascii="Arial" w:hAnsi="Arial" w:cs="Arial"/>
          <w:color w:val="000000"/>
          <w:lang w:val="en-GB"/>
        </w:rPr>
        <w:instrText xml:space="preserve">Sanou","given":"Irene"},{"family":"Münkemüller","given":"Tamara"},{"family":"Boyer","given":"Frédéric"},{"family":"Zinger","given":"Lucie"},{"family":"Thuiller","given":"Wilfried"}],"issued":{"date-parts":[["2020"]]}}}],"schema":"https://github.com/citation-style-language/schema/raw/master/csl-citation.json"} </w:instrText>
      </w:r>
      <w:r w:rsidR="00693DAF" w:rsidRPr="00883FC0">
        <w:rPr>
          <w:rFonts w:ascii="Arial" w:hAnsi="Arial" w:cs="Arial"/>
          <w:color w:val="000000"/>
          <w:lang w:val="en-GB"/>
        </w:rPr>
        <w:fldChar w:fldCharType="separate"/>
      </w:r>
      <w:r w:rsidR="00991FDE" w:rsidRPr="00883FC0">
        <w:rPr>
          <w:rFonts w:ascii="Arial" w:hAnsi="Arial" w:cs="Arial"/>
          <w:lang w:val="en-US"/>
        </w:rPr>
        <w:t>Calderón</w:t>
      </w:r>
      <w:r w:rsidR="00991FDE" w:rsidRPr="00883FC0">
        <w:rPr>
          <w:rFonts w:ascii="Cambria Math" w:hAnsi="Cambria Math" w:cs="Cambria Math"/>
          <w:lang w:val="en-US"/>
        </w:rPr>
        <w:t>‐</w:t>
      </w:r>
      <w:r w:rsidR="00991FDE" w:rsidRPr="00883FC0">
        <w:rPr>
          <w:rFonts w:ascii="Arial" w:hAnsi="Arial" w:cs="Arial"/>
          <w:lang w:val="en-US"/>
        </w:rPr>
        <w:t xml:space="preserve">Sanou et al., </w:t>
      </w:r>
      <w:r w:rsidR="0071434E" w:rsidRPr="00883FC0">
        <w:rPr>
          <w:rFonts w:ascii="Arial" w:hAnsi="Arial" w:cs="Arial"/>
          <w:lang w:val="en-US"/>
        </w:rPr>
        <w:t>(</w:t>
      </w:r>
      <w:r w:rsidR="00991FDE" w:rsidRPr="00883FC0">
        <w:rPr>
          <w:rFonts w:ascii="Arial" w:hAnsi="Arial" w:cs="Arial"/>
          <w:lang w:val="en-US"/>
        </w:rPr>
        <w:t>2020)</w:t>
      </w:r>
      <w:r w:rsidR="00693DAF" w:rsidRPr="00883FC0">
        <w:rPr>
          <w:rFonts w:ascii="Arial" w:hAnsi="Arial" w:cs="Arial"/>
          <w:color w:val="000000"/>
          <w:lang w:val="en-GB"/>
        </w:rPr>
        <w:fldChar w:fldCharType="end"/>
      </w:r>
      <w:r w:rsidRPr="00883FC0">
        <w:rPr>
          <w:rFonts w:ascii="Arial" w:hAnsi="Arial" w:cs="Arial"/>
          <w:color w:val="000000"/>
          <w:lang w:val="en-GB"/>
        </w:rPr>
        <w:t xml:space="preserve">. For each sample, we </w:t>
      </w:r>
      <w:r w:rsidR="004217D3" w:rsidRPr="00883FC0">
        <w:rPr>
          <w:rFonts w:ascii="Arial" w:hAnsi="Arial" w:cs="Arial"/>
          <w:color w:val="000000"/>
          <w:lang w:val="en-GB"/>
        </w:rPr>
        <w:t>summed</w:t>
      </w:r>
      <w:r w:rsidRPr="00883FC0">
        <w:rPr>
          <w:rFonts w:ascii="Arial" w:hAnsi="Arial" w:cs="Arial"/>
          <w:color w:val="000000"/>
          <w:lang w:val="en-GB"/>
        </w:rPr>
        <w:t xml:space="preserve"> the reads of the two replicates with the highest similarity</w:t>
      </w:r>
      <w:r w:rsidR="00152911">
        <w:rPr>
          <w:rFonts w:ascii="Arial" w:hAnsi="Arial" w:cs="Arial"/>
          <w:color w:val="000000"/>
          <w:lang w:val="en-GB"/>
        </w:rPr>
        <w:t xml:space="preserve"> </w:t>
      </w:r>
      <w:r w:rsidR="00152911" w:rsidRPr="00152911">
        <w:rPr>
          <w:rFonts w:ascii="Arial" w:hAnsi="Arial" w:cs="Arial"/>
          <w:color w:val="000000"/>
          <w:highlight w:val="yellow"/>
          <w:lang w:val="en-GB"/>
        </w:rPr>
        <w:t>(i.e., 1 - Bray-</w:t>
      </w:r>
      <w:proofErr w:type="gramStart"/>
      <w:r w:rsidR="00152911" w:rsidRPr="00152911">
        <w:rPr>
          <w:rFonts w:ascii="Arial" w:hAnsi="Arial" w:cs="Arial"/>
          <w:color w:val="000000"/>
          <w:highlight w:val="yellow"/>
          <w:lang w:val="en-GB"/>
        </w:rPr>
        <w:t>Curtis</w:t>
      </w:r>
      <w:proofErr w:type="gramEnd"/>
      <w:r w:rsidR="00152911" w:rsidRPr="00152911">
        <w:rPr>
          <w:rFonts w:ascii="Arial" w:hAnsi="Arial" w:cs="Arial"/>
          <w:color w:val="000000"/>
          <w:highlight w:val="yellow"/>
          <w:lang w:val="en-GB"/>
        </w:rPr>
        <w:t xml:space="preserve"> dissimilarity)</w:t>
      </w:r>
      <w:r w:rsidR="004217D3" w:rsidRPr="00152911">
        <w:rPr>
          <w:rFonts w:ascii="Arial" w:hAnsi="Arial" w:cs="Arial"/>
          <w:color w:val="000000"/>
          <w:highlight w:val="yellow"/>
          <w:lang w:val="en-GB"/>
        </w:rPr>
        <w:t>.</w:t>
      </w:r>
      <w:r w:rsidR="004217D3" w:rsidRPr="00883FC0">
        <w:rPr>
          <w:rFonts w:ascii="Arial" w:hAnsi="Arial" w:cs="Arial"/>
          <w:color w:val="000000"/>
          <w:lang w:val="en-GB"/>
        </w:rPr>
        <w:t xml:space="preserve"> I</w:t>
      </w:r>
      <w:r w:rsidRPr="00883FC0">
        <w:rPr>
          <w:rFonts w:ascii="Arial" w:hAnsi="Arial" w:cs="Arial"/>
          <w:color w:val="000000"/>
          <w:lang w:val="en-GB"/>
        </w:rPr>
        <w:t xml:space="preserve">f this </w:t>
      </w:r>
      <w:r w:rsidRPr="00883FC0">
        <w:rPr>
          <w:rFonts w:ascii="Arial" w:hAnsi="Arial" w:cs="Arial"/>
          <w:lang w:val="en-GB"/>
        </w:rPr>
        <w:t xml:space="preserve">similarity </w:t>
      </w:r>
      <w:r w:rsidR="004217D3" w:rsidRPr="00883FC0">
        <w:rPr>
          <w:rFonts w:ascii="Arial" w:hAnsi="Arial" w:cs="Arial"/>
          <w:lang w:val="en-GB"/>
        </w:rPr>
        <w:t>was</w:t>
      </w:r>
      <w:r w:rsidRPr="00883FC0">
        <w:rPr>
          <w:rFonts w:ascii="Arial" w:hAnsi="Arial" w:cs="Arial"/>
          <w:lang w:val="en-GB"/>
        </w:rPr>
        <w:t xml:space="preserve"> </w:t>
      </w:r>
      <w:r w:rsidR="004217D3" w:rsidRPr="00883FC0">
        <w:rPr>
          <w:rFonts w:ascii="Arial" w:hAnsi="Arial" w:cs="Arial"/>
          <w:lang w:val="en-GB"/>
        </w:rPr>
        <w:t>lower</w:t>
      </w:r>
      <w:r w:rsidRPr="00883FC0">
        <w:rPr>
          <w:rFonts w:ascii="Arial" w:hAnsi="Arial" w:cs="Arial"/>
          <w:lang w:val="en-GB"/>
        </w:rPr>
        <w:t xml:space="preserve"> than the mean similarity among all replicates</w:t>
      </w:r>
      <w:r w:rsidR="004217D3" w:rsidRPr="00883FC0">
        <w:rPr>
          <w:rFonts w:ascii="Arial" w:hAnsi="Arial" w:cs="Arial"/>
          <w:lang w:val="en-GB"/>
        </w:rPr>
        <w:t>, sample was discarded</w:t>
      </w:r>
      <w:r w:rsidRPr="00883FC0">
        <w:rPr>
          <w:rFonts w:ascii="Arial" w:hAnsi="Arial" w:cs="Arial"/>
          <w:lang w:val="en-GB"/>
        </w:rPr>
        <w:t xml:space="preserve">. </w:t>
      </w:r>
      <w:r w:rsidR="00AD7FB7" w:rsidRPr="00883FC0">
        <w:rPr>
          <w:rFonts w:ascii="Arial" w:hAnsi="Arial" w:cs="Arial"/>
          <w:lang w:val="en-US"/>
        </w:rPr>
        <w:t xml:space="preserve">Then, we verified that the 30 </w:t>
      </w:r>
      <w:r w:rsidR="00AD7FB7" w:rsidRPr="00883FC0">
        <w:rPr>
          <w:rFonts w:ascii="Arial" w:hAnsi="Arial" w:cs="Arial"/>
          <w:lang w:val="en-GB"/>
        </w:rPr>
        <w:t>DNA extraction</w:t>
      </w:r>
      <w:r w:rsidR="00AD7FB7" w:rsidRPr="00883FC0">
        <w:rPr>
          <w:rFonts w:ascii="Arial" w:hAnsi="Arial" w:cs="Arial"/>
          <w:lang w:val="en-US"/>
        </w:rPr>
        <w:t xml:space="preserve"> replicates had similar nemabiomes and kept one sample replicate out of two</w:t>
      </w:r>
      <w:r w:rsidR="00AD7FB7" w:rsidRPr="00883FC0">
        <w:rPr>
          <w:rFonts w:ascii="Arial" w:hAnsi="Arial" w:cs="Arial"/>
          <w:lang w:val="en-GB"/>
        </w:rPr>
        <w:t xml:space="preserve">. </w:t>
      </w:r>
      <w:r w:rsidRPr="00883FC0">
        <w:rPr>
          <w:rFonts w:ascii="Arial" w:hAnsi="Arial" w:cs="Arial"/>
          <w:lang w:val="en-GB"/>
        </w:rPr>
        <w:t xml:space="preserve">At </w:t>
      </w:r>
      <w:r w:rsidRPr="00883FC0">
        <w:rPr>
          <w:rFonts w:ascii="Arial" w:hAnsi="Arial" w:cs="Arial"/>
          <w:color w:val="000000"/>
          <w:lang w:val="en-GB"/>
        </w:rPr>
        <w:t>the end, we removed samples if they ha</w:t>
      </w:r>
      <w:r w:rsidR="007F4E7D" w:rsidRPr="00883FC0">
        <w:rPr>
          <w:rFonts w:ascii="Arial" w:hAnsi="Arial" w:cs="Arial"/>
          <w:color w:val="000000"/>
          <w:lang w:val="en-GB"/>
        </w:rPr>
        <w:t xml:space="preserve">d </w:t>
      </w:r>
      <w:r w:rsidRPr="00883FC0">
        <w:rPr>
          <w:rFonts w:ascii="Arial" w:hAnsi="Arial" w:cs="Arial"/>
          <w:color w:val="000000"/>
          <w:lang w:val="en-GB"/>
        </w:rPr>
        <w:t>&lt;1000 reads of ITS2 and &lt;500 reads of β-tubulin isotype 1</w:t>
      </w:r>
      <w:r w:rsidR="001B5371" w:rsidRPr="00883FC0">
        <w:rPr>
          <w:rFonts w:ascii="Arial" w:hAnsi="Arial" w:cs="Arial"/>
          <w:color w:val="000000"/>
          <w:lang w:val="en-GB"/>
        </w:rPr>
        <w:t xml:space="preserve"> </w:t>
      </w:r>
      <w:r w:rsidR="001B5371" w:rsidRPr="00883FC0">
        <w:rPr>
          <w:rFonts w:ascii="Arial" w:hAnsi="Arial" w:cs="Arial"/>
          <w:iCs/>
          <w:color w:val="000000"/>
          <w:lang w:val="en-GB"/>
        </w:rPr>
        <w:t>(Figure S3)</w:t>
      </w:r>
      <w:r w:rsidRPr="00883FC0">
        <w:rPr>
          <w:rFonts w:ascii="Arial" w:hAnsi="Arial" w:cs="Arial"/>
          <w:color w:val="000000"/>
          <w:lang w:val="en-GB"/>
        </w:rPr>
        <w:t xml:space="preserve">. </w:t>
      </w:r>
    </w:p>
    <w:p w14:paraId="7B5CB04A" w14:textId="77777777" w:rsidR="00685709" w:rsidRPr="00883FC0" w:rsidRDefault="00685709" w:rsidP="00A0712B">
      <w:pPr>
        <w:pStyle w:val="NormalWeb"/>
        <w:spacing w:before="0" w:beforeAutospacing="0" w:after="0" w:afterAutospacing="0" w:line="360" w:lineRule="auto"/>
        <w:jc w:val="both"/>
        <w:rPr>
          <w:rFonts w:ascii="Arial" w:hAnsi="Arial" w:cs="Arial"/>
          <w:color w:val="000000"/>
          <w:lang w:val="en-GB"/>
        </w:rPr>
      </w:pPr>
    </w:p>
    <w:p w14:paraId="0EEAAE73"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r w:rsidRPr="00883FC0">
        <w:rPr>
          <w:rFonts w:ascii="Arial" w:hAnsi="Arial" w:cs="Arial"/>
          <w:i/>
          <w:color w:val="000000" w:themeColor="text1"/>
          <w:sz w:val="28"/>
          <w:szCs w:val="24"/>
          <w:lang w:val="en-US"/>
        </w:rPr>
        <w:t>Identification of non-synonymous mutations in codons 167, 198 and 200</w:t>
      </w:r>
      <w:bookmarkEnd w:id="21"/>
    </w:p>
    <w:p w14:paraId="5C331BE3" w14:textId="77777777" w:rsidR="006463F4" w:rsidRPr="00883FC0" w:rsidRDefault="006463F4" w:rsidP="00A0712B">
      <w:pPr>
        <w:spacing w:after="0" w:line="360" w:lineRule="auto"/>
        <w:rPr>
          <w:rFonts w:ascii="Arial" w:hAnsi="Arial" w:cs="Arial"/>
          <w:sz w:val="24"/>
          <w:szCs w:val="24"/>
          <w:lang w:val="en-US"/>
        </w:rPr>
      </w:pPr>
    </w:p>
    <w:p w14:paraId="1EFF339B" w14:textId="69C45897" w:rsidR="00685709" w:rsidRPr="00883FC0" w:rsidRDefault="00685709" w:rsidP="00A0712B">
      <w:pPr>
        <w:pStyle w:val="NormalWeb"/>
        <w:spacing w:before="0" w:beforeAutospacing="0" w:after="0" w:afterAutospacing="0" w:line="360" w:lineRule="auto"/>
        <w:ind w:firstLine="708"/>
        <w:jc w:val="both"/>
        <w:rPr>
          <w:rFonts w:ascii="Arial" w:hAnsi="Arial" w:cs="Arial"/>
          <w:lang w:val="en-GB"/>
        </w:rPr>
      </w:pPr>
      <w:r w:rsidRPr="00883FC0">
        <w:rPr>
          <w:rFonts w:ascii="Arial" w:hAnsi="Arial" w:cs="Arial"/>
          <w:iCs/>
          <w:lang w:val="en-GB"/>
        </w:rPr>
        <w:t xml:space="preserve">For each nematode species, all </w:t>
      </w:r>
      <w:r w:rsidRPr="00883FC0">
        <w:rPr>
          <w:rFonts w:ascii="Arial" w:hAnsi="Arial" w:cs="Arial"/>
          <w:color w:val="000000"/>
          <w:lang w:val="en-GB"/>
        </w:rPr>
        <w:t xml:space="preserve">β-tubulin isotype 1 ASVs were aligned to one of the β-tubulin isotype 1 consensus sequences of the reference database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{"citationID":"Kz2mOUgn","properties":{"formattedCitation":"(Avramenko et al., 2019)","plainCitation":"(Avramenko et al., 2019)","noteIndex":0},"citationItems":[{"id":578,"uris":["http://zotero.org/users/local/NciqjDvn/items/NXNZT3CS"],"itemData":{"id":578,"type":"article-journal","abstract":"Parasitic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(Avramenko et al., 2019)</w:t>
      </w:r>
      <w:r w:rsidRPr="00883FC0">
        <w:rPr>
          <w:rFonts w:ascii="Arial" w:hAnsi="Arial" w:cs="Arial"/>
          <w:color w:val="000000"/>
          <w:lang w:val="en-GB"/>
        </w:rPr>
        <w:fldChar w:fldCharType="end"/>
      </w:r>
      <w:r w:rsidRPr="00883FC0">
        <w:rPr>
          <w:rFonts w:ascii="Arial" w:hAnsi="Arial" w:cs="Arial"/>
          <w:color w:val="000000"/>
          <w:lang w:val="en-GB"/>
        </w:rPr>
        <w:t xml:space="preserve"> using the </w:t>
      </w:r>
      <w:proofErr w:type="spellStart"/>
      <w:r w:rsidRPr="00883FC0">
        <w:rPr>
          <w:rFonts w:ascii="Arial" w:hAnsi="Arial" w:cs="Arial"/>
          <w:i/>
          <w:color w:val="000000"/>
          <w:lang w:val="en-GB"/>
        </w:rPr>
        <w:t>AlignSeqs</w:t>
      </w:r>
      <w:proofErr w:type="spellEnd"/>
      <w:r w:rsidRPr="00883FC0">
        <w:rPr>
          <w:rFonts w:ascii="Arial" w:hAnsi="Arial" w:cs="Arial"/>
          <w:i/>
          <w:color w:val="000000"/>
          <w:lang w:val="en-GB"/>
        </w:rPr>
        <w:t xml:space="preserve"> </w:t>
      </w:r>
      <w:r w:rsidRPr="00883FC0">
        <w:rPr>
          <w:rFonts w:ascii="Arial" w:hAnsi="Arial" w:cs="Arial"/>
          <w:color w:val="000000"/>
          <w:lang w:val="en-GB"/>
        </w:rPr>
        <w:t xml:space="preserve">function of the DECIPHER package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{"citationID":"8hEWcNks","properties":{"formattedCitation":"(Wright, 2016)","plainCitation":"(Wright, 2016)","noteIndex":0},"citationItems":[{"id":719,"uris":["http://zotero.org/users/local/NciqjDvn/items/X7UZ8VTT"],"itemData":{"id":719,"type":"article-journal","container-title":"The R Journal","issue":"1","journalAbbreviation":"R. J.","page":"352-359","title":"Using DECIPHER v2.0 to Analyze Big Biological Sequence Data in R","volume":"8","author":[{"family":"Wright","given":"Erik S."}],"issued":{"date-parts":[["2016"]]}}}],"schema":"https://github.com/citation-style-language/schema/raw/master/csl-citation.json"}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(Wright, 2016)</w:t>
      </w:r>
      <w:r w:rsidRPr="00883FC0">
        <w:rPr>
          <w:rFonts w:ascii="Arial" w:hAnsi="Arial" w:cs="Arial"/>
          <w:color w:val="000000"/>
          <w:lang w:val="en-GB"/>
        </w:rPr>
        <w:fldChar w:fldCharType="end"/>
      </w:r>
      <w:r w:rsidRPr="00883FC0">
        <w:rPr>
          <w:rFonts w:ascii="Arial" w:hAnsi="Arial" w:cs="Arial"/>
          <w:color w:val="000000"/>
          <w:lang w:val="en-GB"/>
        </w:rPr>
        <w:t>. We examined each β-tubulin isotype 1 ASV at codon</w:t>
      </w:r>
      <w:r w:rsidR="007F4E7D" w:rsidRPr="00883FC0">
        <w:rPr>
          <w:rFonts w:ascii="Arial" w:hAnsi="Arial" w:cs="Arial"/>
          <w:color w:val="000000"/>
          <w:lang w:val="en-GB"/>
        </w:rPr>
        <w:t>s</w:t>
      </w:r>
      <w:r w:rsidRPr="00883FC0">
        <w:rPr>
          <w:rFonts w:ascii="Arial" w:hAnsi="Arial" w:cs="Arial"/>
          <w:color w:val="000000"/>
          <w:lang w:val="en-GB"/>
        </w:rPr>
        <w:t xml:space="preserve"> 167,198 and 200 to </w:t>
      </w:r>
      <w:r w:rsidR="00E70626" w:rsidRPr="00E70626">
        <w:rPr>
          <w:rFonts w:ascii="Arial" w:hAnsi="Arial" w:cs="Arial"/>
          <w:color w:val="000000"/>
          <w:highlight w:val="yellow"/>
          <w:lang w:val="en-GB"/>
        </w:rPr>
        <w:t>determine</w:t>
      </w:r>
      <w:r w:rsidRPr="00E70626">
        <w:rPr>
          <w:rFonts w:ascii="Arial" w:hAnsi="Arial" w:cs="Arial"/>
          <w:color w:val="000000"/>
          <w:highlight w:val="yellow"/>
          <w:lang w:val="en-GB"/>
        </w:rPr>
        <w:t xml:space="preserve"> </w:t>
      </w:r>
      <w:r w:rsidR="00E70626" w:rsidRPr="00E70626">
        <w:rPr>
          <w:rFonts w:ascii="Arial" w:hAnsi="Arial" w:cs="Arial"/>
          <w:color w:val="000000"/>
          <w:highlight w:val="yellow"/>
          <w:lang w:val="en-GB"/>
        </w:rPr>
        <w:t>if</w:t>
      </w:r>
      <w:r w:rsidRPr="00E70626">
        <w:rPr>
          <w:rFonts w:ascii="Arial" w:hAnsi="Arial" w:cs="Arial"/>
          <w:color w:val="000000"/>
          <w:highlight w:val="yellow"/>
          <w:lang w:val="en-GB"/>
        </w:rPr>
        <w:t xml:space="preserve"> the</w:t>
      </w:r>
      <w:r w:rsidR="00E70626" w:rsidRPr="00E70626">
        <w:rPr>
          <w:rFonts w:ascii="Arial" w:hAnsi="Arial" w:cs="Arial"/>
          <w:color w:val="000000"/>
          <w:highlight w:val="yellow"/>
          <w:lang w:val="en-GB"/>
        </w:rPr>
        <w:t>se</w:t>
      </w:r>
      <w:r w:rsidRPr="00E70626">
        <w:rPr>
          <w:rFonts w:ascii="Arial" w:hAnsi="Arial" w:cs="Arial"/>
          <w:color w:val="000000"/>
          <w:highlight w:val="yellow"/>
          <w:lang w:val="en-GB"/>
        </w:rPr>
        <w:t xml:space="preserve"> codon</w:t>
      </w:r>
      <w:r w:rsidR="00E70626" w:rsidRPr="00E70626">
        <w:rPr>
          <w:rFonts w:ascii="Arial" w:hAnsi="Arial" w:cs="Arial"/>
          <w:color w:val="000000"/>
          <w:highlight w:val="yellow"/>
          <w:lang w:val="en-GB"/>
        </w:rPr>
        <w:t>s</w:t>
      </w:r>
      <w:r w:rsidRPr="00E70626">
        <w:rPr>
          <w:rFonts w:ascii="Arial" w:hAnsi="Arial" w:cs="Arial"/>
          <w:color w:val="000000"/>
          <w:highlight w:val="yellow"/>
          <w:lang w:val="en-GB"/>
        </w:rPr>
        <w:t xml:space="preserve"> </w:t>
      </w:r>
      <w:r w:rsidR="007F4E7D" w:rsidRPr="00E70626">
        <w:rPr>
          <w:rFonts w:ascii="Arial" w:hAnsi="Arial" w:cs="Arial"/>
          <w:color w:val="000000"/>
          <w:highlight w:val="yellow"/>
          <w:lang w:val="en-GB"/>
        </w:rPr>
        <w:t>w</w:t>
      </w:r>
      <w:r w:rsidR="00E70626" w:rsidRPr="00E70626">
        <w:rPr>
          <w:rFonts w:ascii="Arial" w:hAnsi="Arial" w:cs="Arial"/>
          <w:color w:val="000000"/>
          <w:highlight w:val="yellow"/>
          <w:lang w:val="en-GB"/>
        </w:rPr>
        <w:t>ere</w:t>
      </w:r>
      <w:r w:rsidRPr="00883FC0">
        <w:rPr>
          <w:rFonts w:ascii="Arial" w:hAnsi="Arial" w:cs="Arial"/>
          <w:color w:val="000000"/>
          <w:lang w:val="en-GB"/>
        </w:rPr>
        <w:t xml:space="preserve"> associated with non-synonymous mutation</w:t>
      </w:r>
      <w:r w:rsidR="00E70626" w:rsidRPr="00E70626">
        <w:rPr>
          <w:rFonts w:ascii="Arial" w:hAnsi="Arial" w:cs="Arial"/>
          <w:color w:val="000000"/>
          <w:highlight w:val="yellow"/>
          <w:lang w:val="en-GB"/>
        </w:rPr>
        <w:t>s</w:t>
      </w:r>
      <w:r w:rsidRPr="00883FC0">
        <w:rPr>
          <w:rFonts w:ascii="Arial" w:hAnsi="Arial" w:cs="Arial"/>
          <w:color w:val="000000"/>
          <w:lang w:val="en-GB"/>
        </w:rPr>
        <w:t>. However, we</w:t>
      </w:r>
      <w:r w:rsidR="00E70626">
        <w:rPr>
          <w:rFonts w:ascii="Arial" w:hAnsi="Arial" w:cs="Arial"/>
          <w:color w:val="000000"/>
          <w:lang w:val="en-GB"/>
        </w:rPr>
        <w:t xml:space="preserve"> </w:t>
      </w:r>
      <w:r w:rsidR="00E70626" w:rsidRPr="00E70626">
        <w:rPr>
          <w:rFonts w:ascii="Arial" w:hAnsi="Arial" w:cs="Arial"/>
          <w:color w:val="000000"/>
          <w:highlight w:val="yellow"/>
          <w:lang w:val="en-GB"/>
        </w:rPr>
        <w:t>did not consider</w:t>
      </w:r>
      <w:r w:rsidRPr="00883FC0">
        <w:rPr>
          <w:rFonts w:ascii="Arial" w:hAnsi="Arial" w:cs="Arial"/>
          <w:color w:val="000000"/>
          <w:lang w:val="en-GB"/>
        </w:rPr>
        <w:t xml:space="preserve"> other polymorphi</w:t>
      </w:r>
      <w:r w:rsidR="007F4E7D" w:rsidRPr="00883FC0">
        <w:rPr>
          <w:rFonts w:ascii="Arial" w:hAnsi="Arial" w:cs="Arial"/>
          <w:color w:val="000000"/>
          <w:lang w:val="en-GB"/>
        </w:rPr>
        <w:t>c</w:t>
      </w:r>
      <w:r w:rsidRPr="00883FC0">
        <w:rPr>
          <w:rFonts w:ascii="Arial" w:hAnsi="Arial" w:cs="Arial"/>
          <w:color w:val="000000"/>
          <w:lang w:val="en-GB"/>
        </w:rPr>
        <w:t xml:space="preserve"> sites of the </w:t>
      </w:r>
      <w:r w:rsidR="00E70626">
        <w:rPr>
          <w:rFonts w:ascii="Arial" w:hAnsi="Arial" w:cs="Arial"/>
          <w:lang w:val="en-GB"/>
        </w:rPr>
        <w:t>e</w:t>
      </w:r>
      <w:r w:rsidRPr="00883FC0">
        <w:rPr>
          <w:rFonts w:ascii="Arial" w:hAnsi="Arial" w:cs="Arial"/>
          <w:lang w:val="en-GB"/>
        </w:rPr>
        <w:t>xon.</w:t>
      </w:r>
    </w:p>
    <w:p w14:paraId="3C979486" w14:textId="5DFE01E3" w:rsidR="006463F4" w:rsidRPr="00883FC0" w:rsidRDefault="006463F4" w:rsidP="00A0712B">
      <w:pPr>
        <w:pStyle w:val="NormalWeb"/>
        <w:spacing w:before="0" w:beforeAutospacing="0" w:after="0" w:afterAutospacing="0" w:line="360" w:lineRule="auto"/>
        <w:jc w:val="both"/>
        <w:rPr>
          <w:rFonts w:ascii="Arial" w:hAnsi="Arial" w:cs="Arial"/>
          <w:color w:val="000000"/>
          <w:lang w:val="en-GB"/>
        </w:rPr>
      </w:pPr>
    </w:p>
    <w:p w14:paraId="1E29B6A4"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bookmarkStart w:id="22" w:name="_Toc129193245"/>
      <w:r w:rsidRPr="00883FC0">
        <w:rPr>
          <w:rFonts w:ascii="Arial" w:hAnsi="Arial" w:cs="Arial"/>
          <w:i/>
          <w:color w:val="000000" w:themeColor="text1"/>
          <w:sz w:val="28"/>
          <w:szCs w:val="24"/>
          <w:lang w:val="en-US"/>
        </w:rPr>
        <w:t>Statistical analyses on measures of nemabiomes</w:t>
      </w:r>
      <w:bookmarkEnd w:id="22"/>
    </w:p>
    <w:p w14:paraId="415082E0" w14:textId="77777777" w:rsidR="006463F4" w:rsidRPr="00883FC0" w:rsidRDefault="006463F4" w:rsidP="00A0712B">
      <w:pPr>
        <w:spacing w:after="0" w:line="360" w:lineRule="auto"/>
        <w:rPr>
          <w:rFonts w:ascii="Arial" w:hAnsi="Arial" w:cs="Arial"/>
          <w:sz w:val="24"/>
          <w:szCs w:val="24"/>
          <w:lang w:val="en-US"/>
        </w:rPr>
      </w:pPr>
    </w:p>
    <w:p w14:paraId="0ED5FA5D" w14:textId="179A7FBF" w:rsidR="00685709" w:rsidRPr="00883FC0" w:rsidRDefault="00C15471" w:rsidP="00A0712B">
      <w:pPr>
        <w:pStyle w:val="NormalWeb"/>
        <w:spacing w:before="0" w:beforeAutospacing="0" w:after="0" w:afterAutospacing="0" w:line="360" w:lineRule="auto"/>
        <w:jc w:val="both"/>
        <w:rPr>
          <w:rFonts w:ascii="Arial" w:hAnsi="Arial" w:cs="Arial"/>
          <w:lang w:val="en-GB"/>
        </w:rPr>
      </w:pPr>
      <w:bookmarkStart w:id="23" w:name="_Toc129193246"/>
      <w:r w:rsidRPr="00883FC0">
        <w:rPr>
          <w:rFonts w:ascii="Arial" w:hAnsi="Arial" w:cs="Arial"/>
          <w:lang w:val="en-US"/>
        </w:rPr>
        <w:t>We</w:t>
      </w:r>
      <w:r w:rsidR="00685709" w:rsidRPr="00883FC0">
        <w:rPr>
          <w:rFonts w:ascii="Arial" w:hAnsi="Arial" w:cs="Arial"/>
          <w:lang w:val="en-GB"/>
        </w:rPr>
        <w:t xml:space="preserve"> measure</w:t>
      </w:r>
      <w:r w:rsidRPr="00883FC0">
        <w:rPr>
          <w:rFonts w:ascii="Arial" w:hAnsi="Arial" w:cs="Arial"/>
          <w:lang w:val="en-GB"/>
        </w:rPr>
        <w:t>d</w:t>
      </w:r>
      <w:r w:rsidR="00685709" w:rsidRPr="00883FC0">
        <w:rPr>
          <w:rFonts w:ascii="Arial" w:hAnsi="Arial" w:cs="Arial"/>
          <w:lang w:val="en-GB"/>
        </w:rPr>
        <w:t xml:space="preserve"> differences of nemabiome</w:t>
      </w:r>
      <w:r w:rsidR="00FB1E04" w:rsidRPr="00883FC0">
        <w:rPr>
          <w:rFonts w:ascii="Arial" w:hAnsi="Arial" w:cs="Arial"/>
          <w:lang w:val="en-GB"/>
        </w:rPr>
        <w:t>s</w:t>
      </w:r>
      <w:r w:rsidR="00685709" w:rsidRPr="00883FC0">
        <w:rPr>
          <w:rFonts w:ascii="Arial" w:hAnsi="Arial" w:cs="Arial"/>
          <w:lang w:val="en-GB"/>
        </w:rPr>
        <w:t xml:space="preserve"> </w:t>
      </w:r>
      <w:r w:rsidR="00E70626" w:rsidRPr="00E70626">
        <w:rPr>
          <w:rFonts w:ascii="Arial" w:hAnsi="Arial" w:cs="Arial"/>
          <w:highlight w:val="yellow"/>
          <w:lang w:val="en-GB"/>
        </w:rPr>
        <w:t>between</w:t>
      </w:r>
      <w:r w:rsidR="00685709" w:rsidRPr="00883FC0">
        <w:rPr>
          <w:rFonts w:ascii="Arial" w:hAnsi="Arial" w:cs="Arial"/>
          <w:lang w:val="en-GB"/>
        </w:rPr>
        <w:t xml:space="preserve"> the two host species (sheep and ibex) </w:t>
      </w:r>
      <w:r w:rsidR="00E70626" w:rsidRPr="00E70626">
        <w:rPr>
          <w:rFonts w:ascii="Arial" w:hAnsi="Arial" w:cs="Arial"/>
          <w:highlight w:val="yellow"/>
          <w:lang w:val="en-GB"/>
        </w:rPr>
        <w:t>across</w:t>
      </w:r>
      <w:r w:rsidR="00685709" w:rsidRPr="00883FC0">
        <w:rPr>
          <w:rFonts w:ascii="Arial" w:hAnsi="Arial" w:cs="Arial"/>
          <w:lang w:val="en-GB"/>
        </w:rPr>
        <w:t xml:space="preserve"> the 4 study sites (Aiguillette de Lauzet, Montagne de l’Oule, Champsaur and Belledonne)</w:t>
      </w:r>
      <w:r w:rsidRPr="00883FC0">
        <w:rPr>
          <w:rFonts w:ascii="Arial" w:hAnsi="Arial" w:cs="Arial"/>
          <w:lang w:val="en-GB"/>
        </w:rPr>
        <w:t xml:space="preserve">. In the Cerces Massif, we considered independently the two sectors of the Aiguillette de Lauzet and the Montagne de l’Oule that correspond to distinct and </w:t>
      </w:r>
      <w:r w:rsidRPr="00883FC0">
        <w:rPr>
          <w:rFonts w:ascii="Arial" w:hAnsi="Arial" w:cs="Arial"/>
          <w:lang w:val="en-GB"/>
        </w:rPr>
        <w:lastRenderedPageBreak/>
        <w:t xml:space="preserve">distant pastures where sheep herds never met and where ibex feces were independently </w:t>
      </w:r>
      <w:r w:rsidRPr="002D0E01">
        <w:rPr>
          <w:rFonts w:ascii="Arial" w:hAnsi="Arial" w:cs="Arial"/>
          <w:highlight w:val="yellow"/>
          <w:lang w:val="en-GB"/>
        </w:rPr>
        <w:t>collected</w:t>
      </w:r>
      <w:r w:rsidR="002D0E01" w:rsidRPr="002D0E01">
        <w:rPr>
          <w:rFonts w:ascii="Arial" w:hAnsi="Arial" w:cs="Arial"/>
          <w:highlight w:val="yellow"/>
          <w:lang w:val="en-GB"/>
        </w:rPr>
        <w:t>. W</w:t>
      </w:r>
      <w:r w:rsidR="00685709" w:rsidRPr="002D0E01">
        <w:rPr>
          <w:rFonts w:ascii="Arial" w:hAnsi="Arial" w:cs="Arial"/>
          <w:highlight w:val="yellow"/>
          <w:lang w:val="en-GB"/>
        </w:rPr>
        <w:t>e</w:t>
      </w:r>
      <w:r w:rsidR="00685709" w:rsidRPr="00883FC0">
        <w:rPr>
          <w:rFonts w:ascii="Arial" w:hAnsi="Arial" w:cs="Arial"/>
          <w:lang w:val="en-GB"/>
        </w:rPr>
        <w:t xml:space="preserve"> considered two measures of diversity</w:t>
      </w:r>
      <w:r w:rsidR="004024EA">
        <w:rPr>
          <w:rFonts w:ascii="Arial" w:hAnsi="Arial" w:cs="Arial"/>
          <w:lang w:val="en-GB"/>
        </w:rPr>
        <w:t xml:space="preserve"> </w:t>
      </w:r>
      <w:r w:rsidR="004024EA" w:rsidRPr="004024EA">
        <w:rPr>
          <w:rFonts w:ascii="Arial" w:hAnsi="Arial" w:cs="Arial"/>
          <w:highlight w:val="yellow"/>
          <w:lang w:val="en-GB"/>
        </w:rPr>
        <w:t>on abundance of ASV</w:t>
      </w:r>
      <w:r w:rsidR="00685709" w:rsidRPr="00883FC0">
        <w:rPr>
          <w:rFonts w:ascii="Arial" w:hAnsi="Arial" w:cs="Arial"/>
          <w:lang w:val="en-GB"/>
        </w:rPr>
        <w:t>, i.e., the alpha diversity and the beta diversity</w:t>
      </w:r>
      <w:r w:rsidR="004024EA">
        <w:rPr>
          <w:rFonts w:ascii="Arial" w:hAnsi="Arial" w:cs="Arial"/>
          <w:lang w:val="en-GB"/>
        </w:rPr>
        <w:t xml:space="preserve">. </w:t>
      </w:r>
      <w:r w:rsidR="004024EA" w:rsidRPr="004024EA">
        <w:rPr>
          <w:rFonts w:ascii="Arial" w:hAnsi="Arial" w:cs="Arial"/>
          <w:highlight w:val="yellow"/>
          <w:lang w:val="en-GB"/>
        </w:rPr>
        <w:t xml:space="preserve">The abundance of </w:t>
      </w:r>
      <w:r w:rsidR="004024EA">
        <w:rPr>
          <w:rFonts w:ascii="Arial" w:hAnsi="Arial" w:cs="Arial"/>
          <w:highlight w:val="yellow"/>
          <w:lang w:val="en-GB"/>
        </w:rPr>
        <w:t xml:space="preserve">each </w:t>
      </w:r>
      <w:r w:rsidR="004024EA" w:rsidRPr="004024EA">
        <w:rPr>
          <w:rFonts w:ascii="Arial" w:hAnsi="Arial" w:cs="Arial"/>
          <w:highlight w:val="yellow"/>
          <w:lang w:val="en-GB"/>
        </w:rPr>
        <w:t xml:space="preserve">ASV was </w:t>
      </w:r>
      <w:r w:rsidR="004024EA">
        <w:rPr>
          <w:rFonts w:ascii="Arial" w:hAnsi="Arial" w:cs="Arial"/>
          <w:highlight w:val="yellow"/>
          <w:lang w:val="en-GB"/>
        </w:rPr>
        <w:t>computed</w:t>
      </w:r>
      <w:r w:rsidR="004024EA" w:rsidRPr="004024EA">
        <w:rPr>
          <w:rFonts w:ascii="Arial" w:hAnsi="Arial" w:cs="Arial"/>
          <w:highlight w:val="yellow"/>
          <w:lang w:val="en-GB"/>
        </w:rPr>
        <w:t xml:space="preserve"> as the reads relative frequency of each ASV in each sample, i.e., read relative abundance (RRA).</w:t>
      </w:r>
      <w:r w:rsidR="00685709" w:rsidRPr="00883FC0">
        <w:rPr>
          <w:rFonts w:ascii="Arial" w:hAnsi="Arial" w:cs="Arial"/>
          <w:lang w:val="en-GB"/>
        </w:rPr>
        <w:t xml:space="preserve"> The alpha diversity was measured with the Shannon index that considers richness and evenness of communities</w:t>
      </w:r>
      <w:r w:rsidR="00E70626" w:rsidRPr="00E70626">
        <w:rPr>
          <w:rFonts w:ascii="Arial" w:hAnsi="Arial" w:cs="Arial"/>
          <w:highlight w:val="yellow"/>
          <w:lang w:val="en-GB"/>
        </w:rPr>
        <w:t>,</w:t>
      </w:r>
      <w:r w:rsidR="00685709" w:rsidRPr="00883FC0">
        <w:rPr>
          <w:rFonts w:ascii="Arial" w:hAnsi="Arial" w:cs="Arial"/>
          <w:lang w:val="en-GB"/>
        </w:rPr>
        <w:t xml:space="preserve"> and the beta diversity was measured with the weighted </w:t>
      </w:r>
      <w:proofErr w:type="spellStart"/>
      <w:r w:rsidR="00685709" w:rsidRPr="00883FC0">
        <w:rPr>
          <w:rFonts w:ascii="Arial" w:hAnsi="Arial" w:cs="Arial"/>
          <w:lang w:val="en-GB"/>
        </w:rPr>
        <w:t>UniFrac</w:t>
      </w:r>
      <w:proofErr w:type="spellEnd"/>
      <w:r w:rsidR="00685709" w:rsidRPr="00883FC0">
        <w:rPr>
          <w:rFonts w:ascii="Arial" w:hAnsi="Arial" w:cs="Arial"/>
          <w:lang w:val="en-GB"/>
        </w:rPr>
        <w:t xml:space="preserve"> index estimated using the R </w:t>
      </w:r>
      <w:proofErr w:type="spellStart"/>
      <w:r w:rsidR="00685709" w:rsidRPr="00883FC0">
        <w:rPr>
          <w:rFonts w:ascii="Arial" w:hAnsi="Arial" w:cs="Arial"/>
          <w:lang w:val="en-GB"/>
        </w:rPr>
        <w:t>phyloseq</w:t>
      </w:r>
      <w:proofErr w:type="spellEnd"/>
      <w:r w:rsidR="00685709" w:rsidRPr="00883FC0">
        <w:rPr>
          <w:rFonts w:ascii="Arial" w:hAnsi="Arial" w:cs="Arial"/>
          <w:lang w:val="en-GB"/>
        </w:rPr>
        <w:t xml:space="preserve"> package </w:t>
      </w:r>
      <w:r w:rsidR="00685709" w:rsidRPr="00883FC0">
        <w:rPr>
          <w:rFonts w:ascii="Arial" w:hAnsi="Arial" w:cs="Arial"/>
          <w:lang w:val="en-GB"/>
        </w:rPr>
        <w:fldChar w:fldCharType="begin"/>
      </w:r>
      <w:r w:rsidR="00991FDE" w:rsidRPr="00883FC0">
        <w:rPr>
          <w:rFonts w:ascii="Arial" w:hAnsi="Arial" w:cs="Arial"/>
          <w:lang w:val="en-GB"/>
        </w:rPr>
        <w:instrText xml:space="preserve"> ADDIN ZOTERO_ITEM CSL_CITATION {"citationID":"k78NR15S","properties":{"formattedCitation":"(McMurdie and Holmes, 2013)","plainCitation":"(McMurdie and Holmes, 2013)","noteIndex":0},"citationItems":[{"id":2339,"uris":["http://zotero.org/users/local/NciqjDvn/items/3B7XXVYE"],"itemData":{"id":2339,"type":"article-journal","abstract":"Background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 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 Conclusions The phyloseq project for R is a new open-source software package, freely available on the web from both GitHub and Bioconductor.","container-title":"PLOS ONE","DOI":"10.1371/journal.pone.0061217","ISSN":"1932-6203","issue":"4","journalAbbreviation":"PLOS ONE","language":"en","note":"publisher: Public Library of Science","page":"e61217","source":"PLoS Journals","title":"phyloseq: An R Package for Reproducible Interactive Analysis and Graphics of Microbiome Census Data","title-short":"phyloseq","volume":"8","author":[{"family":"McMurdie","given":"Paul J."},{"family":"Holmes","given":"Susan"}],"issued":{"date-parts":[["2013",4,22]]}}}],"schema":"https://github.com/citation-style-language/schema/raw/master/csl-citation.json"} </w:instrText>
      </w:r>
      <w:r w:rsidR="00685709" w:rsidRPr="00883FC0">
        <w:rPr>
          <w:rFonts w:ascii="Arial" w:hAnsi="Arial" w:cs="Arial"/>
          <w:lang w:val="en-GB"/>
        </w:rPr>
        <w:fldChar w:fldCharType="separate"/>
      </w:r>
      <w:r w:rsidR="00991FDE" w:rsidRPr="00883FC0">
        <w:rPr>
          <w:rFonts w:ascii="Arial" w:hAnsi="Arial" w:cs="Arial"/>
          <w:lang w:val="en-US"/>
        </w:rPr>
        <w:t>(McMurdie and Holmes, 2013)</w:t>
      </w:r>
      <w:r w:rsidR="00685709" w:rsidRPr="00883FC0">
        <w:rPr>
          <w:rFonts w:ascii="Arial" w:hAnsi="Arial" w:cs="Arial"/>
          <w:lang w:val="en-GB"/>
        </w:rPr>
        <w:fldChar w:fldCharType="end"/>
      </w:r>
      <w:r w:rsidR="00685709" w:rsidRPr="00883FC0">
        <w:rPr>
          <w:rFonts w:ascii="Arial" w:hAnsi="Arial" w:cs="Arial"/>
          <w:lang w:val="en-GB"/>
        </w:rPr>
        <w:t xml:space="preserve">. The weighted </w:t>
      </w:r>
      <w:proofErr w:type="spellStart"/>
      <w:r w:rsidR="00685709" w:rsidRPr="00883FC0">
        <w:rPr>
          <w:rFonts w:ascii="Arial" w:hAnsi="Arial" w:cs="Arial"/>
          <w:lang w:val="en-GB"/>
        </w:rPr>
        <w:t>UniFrac</w:t>
      </w:r>
      <w:proofErr w:type="spellEnd"/>
      <w:r w:rsidR="00685709" w:rsidRPr="00883FC0">
        <w:rPr>
          <w:rFonts w:ascii="Arial" w:hAnsi="Arial" w:cs="Arial"/>
          <w:lang w:val="en-GB"/>
        </w:rPr>
        <w:t xml:space="preserve"> distance is a phylogenetic distance between the set of ASV</w:t>
      </w:r>
      <w:r w:rsidR="00FB1E04" w:rsidRPr="00883FC0">
        <w:rPr>
          <w:rFonts w:ascii="Arial" w:hAnsi="Arial" w:cs="Arial"/>
          <w:lang w:val="en-GB"/>
        </w:rPr>
        <w:t>s</w:t>
      </w:r>
      <w:r w:rsidR="00685709" w:rsidRPr="00883FC0">
        <w:rPr>
          <w:rFonts w:ascii="Arial" w:hAnsi="Arial" w:cs="Arial"/>
          <w:lang w:val="en-GB"/>
        </w:rPr>
        <w:t xml:space="preserve"> from each nemabiome weighted by the transformed abundance of each ASV </w:t>
      </w:r>
      <w:r w:rsidR="00685709"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{"citationID":"A4EpvQ8w","properties":{"formattedCitation":"(Lozupone and Knight, 2005)","plainCitation":"(Lozupone and Knight, 2005)","noteIndex":0},"citationItems":[{"id":3607,"uris":["http://zotero.org/users/local/NciqjDvn/items/SSD2MHGA"],"itemData":{"id":3607,"type":"article-journal","abstract":"We introduce here a new method for computing differences between microbial communities based on phylogenetic information. This method, UniFrac, measures the phylogenetic distance between sets of taxa in a phylogenetic tree as the fraction of the branch length of the tree that leads to descendants from either one environment or the other, but not both. UniFrac can be used to determine whether communities are significantly different, to compare many communities simultaneously using clustering and ordination techniques, and to measure the relative contributions of different factors, such as chemistry and geography, to similarities between samples. We demonstrate the utility of UniFrac by applying it to published 16S rRNA gene libraries from cultured isolates and environmental clones of bacteria in marine sediment, water, and ice. Our results reveal that (i) cultured isolates from ice, water, and sediment resemble each other and environmental clone sequences from sea ice, but not environmental clone sequences from sediment and water; (ii) the geographical location does not correlate strongly with bacterial community differences in ice and sediment from the Arctic and Antarctic; and (iii) bacterial communities differ between terrestrially impacted seawater (whether polar or temperate) and warm oligotrophic seawater, whereas those in individual seawater samples are not more similar to each other than to those in sediment or ice samples. These results illustrate that UniFrac provides a new way of characterizing microbial communities, using the wealth of environmental rRNA sequences, and allows quantitative insight into the factors that underlie the distribution of lineages among environments.","container-title":"Applied and Environmental Microbiology","DOI":"10.1128/AEM.71.12.8228-8235.2005","issue":"12","note":"publisher: American Society for Microbiology","page":"8228-8235","source":"journals.asm.org (Atypon)","title":"UniFrac: a new phylogenetic method for comparing microbial communities","title-short":"UniFrac","volume":"71","author":[{"family":"Lozupone","given":"Catherine"},{"family":"Knight","given":"Rob"}],"issued":{"date-parts":[["2005",12]]}}}],"schema":"https://github.com/citation-style-language/schema/raw/master/csl-citation.json"} </w:instrText>
      </w:r>
      <w:r w:rsidR="00685709" w:rsidRPr="00883FC0">
        <w:rPr>
          <w:rFonts w:ascii="Arial" w:hAnsi="Arial" w:cs="Arial"/>
          <w:color w:val="000000"/>
          <w:lang w:val="en-GB"/>
        </w:rPr>
        <w:fldChar w:fldCharType="separate"/>
      </w:r>
      <w:r w:rsidR="00991FDE" w:rsidRPr="00883FC0">
        <w:rPr>
          <w:rFonts w:ascii="Arial" w:hAnsi="Arial" w:cs="Arial"/>
          <w:lang w:val="en-US"/>
        </w:rPr>
        <w:t>(Lozupone and Knight, 2005)</w:t>
      </w:r>
      <w:r w:rsidR="00685709" w:rsidRPr="00883FC0">
        <w:rPr>
          <w:rFonts w:ascii="Arial" w:hAnsi="Arial" w:cs="Arial"/>
          <w:color w:val="000000"/>
          <w:lang w:val="en-GB"/>
        </w:rPr>
        <w:fldChar w:fldCharType="end"/>
      </w:r>
      <w:r w:rsidR="00685709" w:rsidRPr="00883FC0">
        <w:rPr>
          <w:rFonts w:ascii="Arial" w:hAnsi="Arial" w:cs="Arial"/>
          <w:color w:val="000000"/>
          <w:lang w:val="en-GB"/>
        </w:rPr>
        <w:t>. The phylogenetic distances were computed from a phylogenetic tree which was con</w:t>
      </w:r>
      <w:r w:rsidR="00FB1E04" w:rsidRPr="00883FC0">
        <w:rPr>
          <w:rFonts w:ascii="Arial" w:hAnsi="Arial" w:cs="Arial"/>
          <w:color w:val="000000"/>
          <w:lang w:val="en-GB"/>
        </w:rPr>
        <w:t>str</w:t>
      </w:r>
      <w:r w:rsidR="00685709" w:rsidRPr="00883FC0">
        <w:rPr>
          <w:rFonts w:ascii="Arial" w:hAnsi="Arial" w:cs="Arial"/>
          <w:color w:val="000000"/>
          <w:lang w:val="en-GB"/>
        </w:rPr>
        <w:t xml:space="preserve">ucted using maximum likelihood with the </w:t>
      </w:r>
      <w:r w:rsidR="00014670" w:rsidRPr="00883FC0">
        <w:rPr>
          <w:rFonts w:ascii="Arial" w:hAnsi="Arial" w:cs="Arial"/>
          <w:color w:val="000000"/>
          <w:lang w:val="en-GB"/>
        </w:rPr>
        <w:t>GTR</w:t>
      </w:r>
      <w:r w:rsidR="00685709" w:rsidRPr="00883FC0">
        <w:rPr>
          <w:rFonts w:ascii="Arial" w:hAnsi="Arial" w:cs="Arial"/>
          <w:color w:val="000000"/>
          <w:lang w:val="en-GB"/>
        </w:rPr>
        <w:t>+G</w:t>
      </w:r>
      <w:r w:rsidR="00014670" w:rsidRPr="00883FC0">
        <w:rPr>
          <w:rFonts w:ascii="Arial" w:hAnsi="Arial" w:cs="Arial"/>
          <w:color w:val="000000"/>
          <w:lang w:val="en-GB"/>
        </w:rPr>
        <w:t>+I</w:t>
      </w:r>
      <w:r w:rsidR="00685709" w:rsidRPr="00883FC0">
        <w:rPr>
          <w:rFonts w:ascii="Arial" w:hAnsi="Arial" w:cs="Arial"/>
          <w:color w:val="000000"/>
          <w:lang w:val="en-GB"/>
        </w:rPr>
        <w:t xml:space="preserve"> model according to the </w:t>
      </w:r>
      <w:r w:rsidR="00685709" w:rsidRPr="00883FC0">
        <w:rPr>
          <w:rFonts w:ascii="Arial" w:hAnsi="Arial" w:cs="Arial"/>
          <w:i/>
          <w:color w:val="000000"/>
          <w:lang w:val="en-GB"/>
        </w:rPr>
        <w:t>ModelTest</w:t>
      </w:r>
      <w:r w:rsidR="00685709" w:rsidRPr="00883FC0">
        <w:rPr>
          <w:rFonts w:ascii="Arial" w:hAnsi="Arial" w:cs="Arial"/>
          <w:color w:val="000000"/>
          <w:lang w:val="en-GB"/>
        </w:rPr>
        <w:t xml:space="preserve"> function </w:t>
      </w:r>
      <w:r w:rsidR="00685709"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{"citationID":"lMUkgRMb","properties":{"formattedCitation":"(Posada and Crandall, 1998; Schliep, 2011)","plainCitation":"(Posada and Crandall, 1998; Schliep, 2011)","noteIndex":0},"citationItems":[{"id":729,"uris":["http://zotero.org/users/local/NciqjDvn/items/WHQVCGEL"],"itemData":{"id":729,"type":"article-journal","abstract":"Abstract.  SUMMARY: The program MODELTEST uses log likelihood scores to establish the model of DNA evolution that best fits the data. AVAILABILITY: The MODELTES","container-title":"Bioinformatics","DOI":"10.1093/bioinformatics/14.9.817","ISSN":"1367-4803","issue":"9","journalAbbreviation":"Bioinformatics","language":"en","page":"817-818","source":"academic.oup.com","title":"modeltest: testing the model of DNA substitution.","title-short":"MODELTEST","volume":"14","author":[{"family":"Posada","given":"D."},{"family":"Crandall","given":"K. A."}],"issued":{"date-parts":[["1998",1,1]]}}},{"id":1072,"uris":["http://zotero.org/users/local/NciqjDvn/items/TISXFYK7"],"itemData":{"id":1072,"type":"article-journal","abstract":"Abstract.  Summary:phangorn is a package for phylogenetic reconstruction and analysis in the R language. Previously it was only possible to estimate phylogeneti","container-title":"Bioinformatics","DOI":"10.1093/bioinformatics/btq706","ISSN":"1367-4803","issue":"4","journalAbbreviation":"Bioinformatics","language":"en","note":"publisher: Oxford Academic","page":"592-593","source":"academic.oup.com","title":"phangorn: phylogenetic analysis in R","title-short":"phangorn","volume":"27","author":[{"family":"Schliep","given":"Klaus Peter"}],"issued":{"date-parts":[["2011",2,15]]}}}],"schema":"https://github.com/citation-style-language/schema/raw/master/csl-citation.json"} </w:instrText>
      </w:r>
      <w:r w:rsidR="00685709" w:rsidRPr="00883FC0">
        <w:rPr>
          <w:rFonts w:ascii="Arial" w:hAnsi="Arial" w:cs="Arial"/>
          <w:color w:val="000000"/>
          <w:lang w:val="en-GB"/>
        </w:rPr>
        <w:fldChar w:fldCharType="separate"/>
      </w:r>
      <w:r w:rsidR="00991FDE" w:rsidRPr="00883FC0">
        <w:rPr>
          <w:rFonts w:ascii="Arial" w:hAnsi="Arial" w:cs="Arial"/>
          <w:lang w:val="en-US"/>
        </w:rPr>
        <w:t>(Posada and Crandall, 1998; Schliep, 2011)</w:t>
      </w:r>
      <w:r w:rsidR="00685709" w:rsidRPr="00883FC0">
        <w:rPr>
          <w:rFonts w:ascii="Arial" w:hAnsi="Arial" w:cs="Arial"/>
          <w:color w:val="000000"/>
          <w:lang w:val="en-GB"/>
        </w:rPr>
        <w:fldChar w:fldCharType="end"/>
      </w:r>
      <w:r w:rsidR="00685709" w:rsidRPr="00883FC0">
        <w:rPr>
          <w:rFonts w:ascii="Arial" w:hAnsi="Arial" w:cs="Arial"/>
          <w:color w:val="000000"/>
          <w:lang w:val="en-GB"/>
        </w:rPr>
        <w:t xml:space="preserve">. The </w:t>
      </w:r>
      <w:r w:rsidR="00685709" w:rsidRPr="00883FC0">
        <w:rPr>
          <w:rFonts w:ascii="Arial" w:hAnsi="Arial" w:cs="Arial"/>
          <w:lang w:val="en-GB"/>
        </w:rPr>
        <w:t>exact count</w:t>
      </w:r>
      <w:r w:rsidR="00FB1E04" w:rsidRPr="00883FC0">
        <w:rPr>
          <w:rFonts w:ascii="Arial" w:hAnsi="Arial" w:cs="Arial"/>
          <w:lang w:val="en-GB"/>
        </w:rPr>
        <w:t>s</w:t>
      </w:r>
      <w:r w:rsidR="00685709" w:rsidRPr="00883FC0">
        <w:rPr>
          <w:rFonts w:ascii="Arial" w:hAnsi="Arial" w:cs="Arial"/>
          <w:lang w:val="en-GB"/>
        </w:rPr>
        <w:t xml:space="preserve"> of ITS2 reads were transformed with the Hellinger transformation (e.g., square root</w:t>
      </w:r>
      <w:r w:rsidR="00FB1E04" w:rsidRPr="00883FC0">
        <w:rPr>
          <w:rFonts w:ascii="Arial" w:hAnsi="Arial" w:cs="Arial"/>
          <w:lang w:val="en-GB"/>
        </w:rPr>
        <w:t xml:space="preserve"> of</w:t>
      </w:r>
      <w:r w:rsidR="00685709" w:rsidRPr="00883FC0">
        <w:rPr>
          <w:rFonts w:ascii="Arial" w:hAnsi="Arial" w:cs="Arial"/>
          <w:lang w:val="en-GB"/>
        </w:rPr>
        <w:t xml:space="preserve"> relative frequencies) to account for the high number of zero</w:t>
      </w:r>
      <w:r w:rsidR="00FB1E04" w:rsidRPr="00883FC0">
        <w:rPr>
          <w:rFonts w:ascii="Arial" w:hAnsi="Arial" w:cs="Arial"/>
          <w:lang w:val="en-GB"/>
        </w:rPr>
        <w:t>s</w:t>
      </w:r>
      <w:r w:rsidR="00685709" w:rsidRPr="00883FC0">
        <w:rPr>
          <w:rFonts w:ascii="Arial" w:hAnsi="Arial" w:cs="Arial"/>
          <w:lang w:val="en-GB"/>
        </w:rPr>
        <w:t xml:space="preserve"> in</w:t>
      </w:r>
      <w:r w:rsidR="00FB1E04" w:rsidRPr="00883FC0">
        <w:rPr>
          <w:rFonts w:ascii="Arial" w:hAnsi="Arial" w:cs="Arial"/>
          <w:lang w:val="en-GB"/>
        </w:rPr>
        <w:t xml:space="preserve"> the</w:t>
      </w:r>
      <w:r w:rsidR="00685709" w:rsidRPr="00883FC0">
        <w:rPr>
          <w:rFonts w:ascii="Arial" w:hAnsi="Arial" w:cs="Arial"/>
          <w:lang w:val="en-GB"/>
        </w:rPr>
        <w:t xml:space="preserve"> community table</w:t>
      </w:r>
      <w:r w:rsidR="00FB1E04" w:rsidRPr="00883FC0">
        <w:rPr>
          <w:rFonts w:ascii="Arial" w:hAnsi="Arial" w:cs="Arial"/>
          <w:lang w:val="en-GB"/>
        </w:rPr>
        <w:t>s</w:t>
      </w:r>
      <w:r w:rsidR="00685709" w:rsidRPr="00883FC0">
        <w:rPr>
          <w:rFonts w:ascii="Arial" w:hAnsi="Arial" w:cs="Arial"/>
          <w:lang w:val="en-GB"/>
        </w:rPr>
        <w:t xml:space="preserve"> and to decrease the influence of rare ASVs in statistical analyses </w:t>
      </w:r>
      <w:r w:rsidR="00685709" w:rsidRPr="00883FC0">
        <w:rPr>
          <w:rFonts w:ascii="Arial" w:hAnsi="Arial" w:cs="Arial"/>
          <w:lang w:val="en-GB"/>
        </w:rPr>
        <w:fldChar w:fldCharType="begin"/>
      </w:r>
      <w:r w:rsidR="00991FDE" w:rsidRPr="00883FC0">
        <w:rPr>
          <w:rFonts w:ascii="Arial" w:hAnsi="Arial" w:cs="Arial"/>
          <w:lang w:val="en-GB"/>
        </w:rPr>
        <w:instrText xml:space="preserve"> ADDIN ZOTERO_ITEM CSL_CITATION {"citationID":"6RCGXS4z","properties":{"formattedCitation":"(Legendre and Legendre, 2012)","plainCitation":"(Legendre and Legendre, 2012)","noteIndex":0},"citationItems":[{"id":3664,"uris":["http://zotero.org/users/local/NciqjDvn/items/2GRCQC8Y"],"itemData":{"id":3664,"type":"book","abstract":"The book describes and discusses the numerical methods which are successfully being used for analysing ecological data, using a clear and comprehensive approach. These methods are derived from the fields of mathematical physics, parametric and nonparametric statistics, information theory, numerical taxonomy, archaeology, psychometry, sociometry, econometry and others.An updated, 3rd English edition of the most widely cited book on quantitative analysis of multivariate ecological dataRelates ecological questions to methods of statistical analysis, with a clear description of complex numerical methodsAll methods are illustrated by examples from the ecological literature so that ecologists clearly see how to use the methods and approaches in their own researchAll calculations are available in R language functions","ISBN":"978-0-444-53869-7","language":"en","number-of-pages":"1007","publisher":"Elsevier","source":"Google Books","title":"Numerical Ecology","author":[{"family":"Legendre","given":"P."},{"family":"Legendre","given":"L."}],"issued":{"date-parts":[["2012",7,21]]}}}],"schema":"https://github.com/citation-style-language/schema/raw/master/csl-citation.json"} </w:instrText>
      </w:r>
      <w:r w:rsidR="00685709" w:rsidRPr="00883FC0">
        <w:rPr>
          <w:rFonts w:ascii="Arial" w:hAnsi="Arial" w:cs="Arial"/>
          <w:lang w:val="en-GB"/>
        </w:rPr>
        <w:fldChar w:fldCharType="separate"/>
      </w:r>
      <w:r w:rsidR="00991FDE" w:rsidRPr="00883FC0">
        <w:rPr>
          <w:rFonts w:ascii="Arial" w:hAnsi="Arial" w:cs="Arial"/>
          <w:lang w:val="en-US"/>
        </w:rPr>
        <w:t>(Legendre and Legendre, 2012)</w:t>
      </w:r>
      <w:r w:rsidR="00685709" w:rsidRPr="00883FC0">
        <w:rPr>
          <w:rFonts w:ascii="Arial" w:hAnsi="Arial" w:cs="Arial"/>
          <w:lang w:val="en-GB"/>
        </w:rPr>
        <w:fldChar w:fldCharType="end"/>
      </w:r>
      <w:r w:rsidR="00685709" w:rsidRPr="00883FC0">
        <w:rPr>
          <w:rFonts w:ascii="Arial" w:hAnsi="Arial" w:cs="Arial"/>
          <w:lang w:val="en-GB"/>
        </w:rPr>
        <w:t xml:space="preserve">. </w:t>
      </w:r>
    </w:p>
    <w:p w14:paraId="41F28419" w14:textId="1092AE43" w:rsidR="00685709" w:rsidRPr="00883FC0" w:rsidRDefault="00685709" w:rsidP="00A0712B">
      <w:pPr>
        <w:pStyle w:val="NormalWeb"/>
        <w:spacing w:before="0" w:beforeAutospacing="0" w:after="0" w:afterAutospacing="0" w:line="360" w:lineRule="auto"/>
        <w:jc w:val="both"/>
        <w:rPr>
          <w:rFonts w:ascii="Arial" w:hAnsi="Arial" w:cs="Arial"/>
          <w:color w:val="000000"/>
          <w:lang w:val="en-GB"/>
        </w:rPr>
      </w:pPr>
      <w:r w:rsidRPr="00883FC0">
        <w:rPr>
          <w:rFonts w:ascii="Arial" w:hAnsi="Arial" w:cs="Arial"/>
          <w:color w:val="000000"/>
          <w:lang w:val="en-GB"/>
        </w:rPr>
        <w:t>We tested the effects of host species and site, including their interaction, on alpha diversity with linear models, and on beta diversity using perMANOVA (</w:t>
      </w:r>
      <w:r w:rsidRPr="00883FC0">
        <w:rPr>
          <w:rFonts w:ascii="Arial" w:hAnsi="Arial" w:cs="Arial"/>
          <w:i/>
          <w:color w:val="000000"/>
          <w:lang w:val="en-GB"/>
        </w:rPr>
        <w:t>adonis2</w:t>
      </w:r>
      <w:r w:rsidRPr="00883FC0">
        <w:rPr>
          <w:rFonts w:ascii="Arial" w:hAnsi="Arial" w:cs="Arial"/>
          <w:color w:val="000000"/>
          <w:lang w:val="en-GB"/>
        </w:rPr>
        <w:t>, vegan R package</w:t>
      </w:r>
      <w:r w:rsidRPr="00883FC0">
        <w:rPr>
          <w:rFonts w:ascii="Arial" w:hAnsi="Arial" w:cs="Arial"/>
          <w:lang w:val="en-GB"/>
        </w:rPr>
        <w:t xml:space="preserve"> </w:t>
      </w:r>
      <w:r w:rsidR="0071434E" w:rsidRPr="00883FC0">
        <w:rPr>
          <w:rFonts w:ascii="Arial" w:hAnsi="Arial" w:cs="Arial"/>
          <w:lang w:val="en-GB"/>
        </w:rPr>
        <w:t>(</w:t>
      </w:r>
      <w:r w:rsidRPr="00883FC0">
        <w:rPr>
          <w:rFonts w:ascii="Arial" w:hAnsi="Arial" w:cs="Arial"/>
          <w:lang w:val="en-GB"/>
        </w:rPr>
        <w:fldChar w:fldCharType="begin"/>
      </w:r>
      <w:r w:rsidR="001C5C07" w:rsidRPr="00883FC0">
        <w:rPr>
          <w:rFonts w:ascii="Arial" w:hAnsi="Arial" w:cs="Arial"/>
          <w:lang w:val="en-GB"/>
        </w:rPr>
        <w:instrText xml:space="preserve"> ADDIN ZOTERO_ITEM CSL_CITATION {"citationID":"7zRG1B40","properties":{"formattedCitation":"(Oksanen et al., 2020)","plainCitation":"(Oksanen et al., 2020)","dontUpdate":true,"noteIndex":0},"citationItems":[{"id":3609,"uris":["http://zotero.org/users/local/NciqjDvn/items/UUPI5F2D"],"itemData":{"id":3609,"type":"software","source":"=","title":"vegan : community ecology package.","URL":"https://CRAN.R-project.org/package=vegan","version":"R package version 2.5-7","author":[{"family":"Oksanen","given":"Jari"},{"family":"Blanchet","given":"F. Guillaume"},{"family":"Friendly","given":"Michael"},{"family":"Kindt","given":"Roeland"},{"family":"Legendre","given":"Pierre"},{"family":"McGlinn","given":"Dan"},{"family":"Minchin","given":"Peter R."},{"family":"O'Hara","given":"R.B."},{"family":"Simpson","given":"Gavin L."},{"family":"Solymos","given":"Peter"},{"family":"Stevens","given":"M. Henry H."},{"family":"Szoecs","given":"Eduard"},{"family":"Wagner","given":"Helene"}],"accessed":{"date-parts":[["2022",12,21]]},"issued":{"date-parts":[["2020"]]}}}],"schema":"https://github.com/citation-style-language/schema/raw/master/csl-citation.json"} </w:instrText>
      </w:r>
      <w:r w:rsidRPr="00883FC0">
        <w:rPr>
          <w:rFonts w:ascii="Arial" w:hAnsi="Arial" w:cs="Arial"/>
          <w:lang w:val="en-GB"/>
        </w:rPr>
        <w:fldChar w:fldCharType="separate"/>
      </w:r>
      <w:r w:rsidR="00991FDE" w:rsidRPr="00883FC0">
        <w:rPr>
          <w:rFonts w:ascii="Arial" w:hAnsi="Arial" w:cs="Arial"/>
          <w:lang w:val="en-US"/>
        </w:rPr>
        <w:t>Oksanen et al., 2020)</w:t>
      </w:r>
      <w:r w:rsidRPr="00883FC0">
        <w:rPr>
          <w:rFonts w:ascii="Arial" w:hAnsi="Arial" w:cs="Arial"/>
          <w:lang w:val="en-GB"/>
        </w:rPr>
        <w:fldChar w:fldCharType="end"/>
      </w:r>
      <w:r w:rsidRPr="00883FC0">
        <w:rPr>
          <w:rFonts w:ascii="Arial" w:hAnsi="Arial" w:cs="Arial"/>
          <w:color w:val="000000"/>
          <w:lang w:val="en-GB"/>
        </w:rPr>
        <w:t xml:space="preserve">). All possible models including the null model were computed. For perMANOVA models, we used a custom function to compute Akaike’s information criterion corrected for small sample size (AICc) based on residual sums of squares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{"citationID":"jKhpnDh9","properties":{"formattedCitation":"(Dyson, 2018)","plainCitation":"(Dyson, 2018)","noteIndex":0},"citationItems":[{"id":1430,"uris":["http://zotero.org/users/local/NciqjDvn/items/UEAUSRVF"],"itemData":{"id":1430,"type":"webpage","abstract":"Helper R scripts for multiple PERMANOVA tests, AICc script for PERMANOVA, etc.","title":"Custom community ecology helper R scripts","URL":"https://github.com/kdyson/R_Scripts","author":[{"family":"Dyson","given":"K."}],"issued":{"date-parts":[["2018"]]}}}],"schema":"https://github.com/citation-style-language/schema/raw/master/csl-citation.json"}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(Dyson, 2018)</w:t>
      </w:r>
      <w:r w:rsidRPr="00883FC0">
        <w:rPr>
          <w:rFonts w:ascii="Arial" w:hAnsi="Arial" w:cs="Arial"/>
          <w:color w:val="000000"/>
          <w:lang w:val="en-GB"/>
        </w:rPr>
        <w:fldChar w:fldCharType="end"/>
      </w:r>
      <w:r w:rsidRPr="00883FC0">
        <w:rPr>
          <w:rFonts w:ascii="Arial" w:hAnsi="Arial" w:cs="Arial"/>
          <w:color w:val="000000"/>
          <w:lang w:val="en-GB"/>
        </w:rPr>
        <w:t xml:space="preserve">. In a model selection approach, for both alpha and beta diversity, all possible models were ranked using the AICc and we selected the model with the lowest AICc value. Models with </w:t>
      </w:r>
      <w:bookmarkStart w:id="24" w:name="_Hlk160116914"/>
      <w:r w:rsidRPr="00883FC0">
        <w:rPr>
          <w:rFonts w:ascii="Arial" w:hAnsi="Arial" w:cs="Arial"/>
          <w:color w:val="000000"/>
          <w:lang w:val="en-GB"/>
        </w:rPr>
        <w:t>ΔAICc ≤ 2</w:t>
      </w:r>
      <w:bookmarkEnd w:id="24"/>
      <w:r w:rsidRPr="00883FC0">
        <w:rPr>
          <w:rFonts w:ascii="Arial" w:hAnsi="Arial" w:cs="Arial"/>
          <w:color w:val="000000"/>
          <w:lang w:val="en-GB"/>
        </w:rPr>
        <w:t xml:space="preserve"> were considered equivalent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{"citationID":"FemVRyZY","properties":{"formattedCitation":"(Burnham and Anderson, 2002)","plainCitation":"(Burnham and Anderson, 2002)","noteIndex":0},"citationItems":[{"id":732,"uris":["http://zotero.org/users/local/NciqjDvn/items/HMW98VBV"],"itemData":{"id":732,"type":"book","abstract":"We wrote this book to introduce graduate students and research workers in various scienti?c disciplines to the use of information-theoretic approaches in the analysis of empirical data. These methods allow the data-based selection of a “best” model and a ranking and weighting of the remaining models in a pre-de?ned set. Traditional statistical inference can then be based on this selected best model. However, we now emphasize that information-theoretic approaches allow formal inference to be based on more than one model (m- timodel inference). Such procedures lead to more robust inferences in many cases, and we advocate these approaches throughout the book. The second edition was prepared with three goals in mind. First, we have tried to improve the presentation of the material. Boxes now highlight ess- tial expressions and points. Some reorganization has been done to improve the ?ow of concepts, and a new chapter has been added. Chapters 2 and 4 have been streamlined in view of the detailed theory provided in Chapter 7. S- ond, concepts related to making formal inferences from more than one model (multimodel inference) have been emphasized throughout the book, but p- ticularly in Chapters 4, 5, and 6. Third, new technical material has been added to Chapters 5 and 6. Well over 100 new references to the technical literature are given. These changes result primarily from our experiences while giving several seminars, workshops, and graduate courses on material in the ?rst e- tion.","edition":"2","event-place":"New York","ISBN":"978-0-387-95364-9","language":"en","note":"DOI: 10.1007/b97636","publisher":"Springer","publisher-place":"New York","source":"www.springer.com","title":"Model selection and multimodel inference: a practical information-theoretic approach","title-short":"Model Selection and Multimodel Inference","author":[{"family":"Burnham","given":"Kenneth P."},{"family":"Anderson","given":"David R."}],"accessed":{"date-parts":[["2020",2,12]]},"issued":{"date-parts":[["2002"]]}}}],"schema":"https://github.com/citation-style-language/schema/raw/master/csl-citation.json"}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(Burnham and Anderson, 2002)</w:t>
      </w:r>
      <w:r w:rsidRPr="00883FC0">
        <w:rPr>
          <w:rFonts w:ascii="Arial" w:hAnsi="Arial" w:cs="Arial"/>
          <w:color w:val="000000"/>
          <w:lang w:val="en-GB"/>
        </w:rPr>
        <w:fldChar w:fldCharType="end"/>
      </w:r>
      <w:r w:rsidRPr="00883FC0">
        <w:rPr>
          <w:rFonts w:ascii="Arial" w:hAnsi="Arial" w:cs="Arial"/>
          <w:color w:val="000000"/>
          <w:lang w:val="en-GB"/>
        </w:rPr>
        <w:t>, and in this case, we considered the most parsimonious one, i.e., the model with the lowest degree</w:t>
      </w:r>
      <w:r w:rsidR="00FB1E04" w:rsidRPr="00883FC0">
        <w:rPr>
          <w:rFonts w:ascii="Arial" w:hAnsi="Arial" w:cs="Arial"/>
          <w:color w:val="000000"/>
          <w:lang w:val="en-GB"/>
        </w:rPr>
        <w:t>s</w:t>
      </w:r>
      <w:r w:rsidRPr="00883FC0">
        <w:rPr>
          <w:rFonts w:ascii="Arial" w:hAnsi="Arial" w:cs="Arial"/>
          <w:color w:val="000000"/>
          <w:lang w:val="en-GB"/>
        </w:rPr>
        <w:t xml:space="preserve"> of freedom.</w:t>
      </w:r>
    </w:p>
    <w:p w14:paraId="6A4896E9" w14:textId="413EF010" w:rsidR="00BC321F" w:rsidRPr="00883FC0" w:rsidRDefault="00BC321F" w:rsidP="00A0712B">
      <w:pPr>
        <w:pStyle w:val="NormalWeb"/>
        <w:spacing w:before="0" w:beforeAutospacing="0" w:after="0" w:afterAutospacing="0" w:line="360" w:lineRule="auto"/>
        <w:jc w:val="both"/>
        <w:rPr>
          <w:rFonts w:ascii="Arial" w:hAnsi="Arial" w:cs="Arial"/>
          <w:lang w:val="en-US"/>
        </w:rPr>
      </w:pPr>
      <w:r w:rsidRPr="00883FC0">
        <w:rPr>
          <w:rFonts w:ascii="Arial" w:hAnsi="Arial" w:cs="Arial"/>
          <w:lang w:val="en-US"/>
        </w:rPr>
        <w:t xml:space="preserve">As sex and age </w:t>
      </w:r>
      <w:r w:rsidR="007C0A2B" w:rsidRPr="00883FC0">
        <w:rPr>
          <w:rFonts w:ascii="Arial" w:hAnsi="Arial" w:cs="Arial"/>
          <w:lang w:val="en-US"/>
        </w:rPr>
        <w:t>were</w:t>
      </w:r>
      <w:r w:rsidRPr="00883FC0">
        <w:rPr>
          <w:rFonts w:ascii="Arial" w:hAnsi="Arial" w:cs="Arial"/>
          <w:lang w:val="en-US"/>
        </w:rPr>
        <w:t xml:space="preserve"> determined for some ibex, we also tested the effect of ibex classes (1: adult males, 2: females or kids/yearlings) on alpha and beta diversity following the same model selection approach</w:t>
      </w:r>
      <w:r w:rsidR="00E70626">
        <w:rPr>
          <w:rFonts w:ascii="Arial" w:hAnsi="Arial" w:cs="Arial"/>
          <w:lang w:val="en-US"/>
        </w:rPr>
        <w:t xml:space="preserve">. </w:t>
      </w:r>
      <w:r w:rsidR="00E70626" w:rsidRPr="00E70626">
        <w:rPr>
          <w:rFonts w:ascii="Arial" w:hAnsi="Arial" w:cs="Arial"/>
          <w:highlight w:val="yellow"/>
          <w:lang w:val="en-US"/>
        </w:rPr>
        <w:t>This</w:t>
      </w:r>
      <w:r w:rsidRPr="00E70626">
        <w:rPr>
          <w:rFonts w:ascii="Arial" w:hAnsi="Arial" w:cs="Arial"/>
          <w:highlight w:val="yellow"/>
          <w:lang w:val="en-US"/>
        </w:rPr>
        <w:t xml:space="preserve"> includ</w:t>
      </w:r>
      <w:r w:rsidR="00E70626" w:rsidRPr="00E70626">
        <w:rPr>
          <w:rFonts w:ascii="Arial" w:hAnsi="Arial" w:cs="Arial"/>
          <w:highlight w:val="yellow"/>
          <w:lang w:val="en-US"/>
        </w:rPr>
        <w:t>ed</w:t>
      </w:r>
      <w:r w:rsidRPr="00883FC0">
        <w:rPr>
          <w:rFonts w:ascii="Arial" w:hAnsi="Arial" w:cs="Arial"/>
          <w:lang w:val="en-US"/>
        </w:rPr>
        <w:t xml:space="preserve"> ibex classes and sites as explanatory variables.</w:t>
      </w:r>
    </w:p>
    <w:p w14:paraId="0FC28369" w14:textId="74D843B3" w:rsidR="00685709" w:rsidRPr="00883FC0" w:rsidRDefault="00685709" w:rsidP="00A0712B">
      <w:pPr>
        <w:pStyle w:val="NormalWeb"/>
        <w:spacing w:before="0" w:beforeAutospacing="0" w:after="0" w:afterAutospacing="0" w:line="360" w:lineRule="auto"/>
        <w:jc w:val="both"/>
        <w:rPr>
          <w:rFonts w:ascii="Arial" w:hAnsi="Arial" w:cs="Arial"/>
          <w:lang w:val="en-GB"/>
        </w:rPr>
      </w:pPr>
      <w:r w:rsidRPr="00883FC0">
        <w:rPr>
          <w:rFonts w:ascii="Arial" w:hAnsi="Arial" w:cs="Arial"/>
          <w:color w:val="000000"/>
          <w:lang w:val="en-GB"/>
        </w:rPr>
        <w:t xml:space="preserve">All analyses were carried out using R 3.6 </w:t>
      </w:r>
      <w:r w:rsidRPr="00883FC0">
        <w:rPr>
          <w:rFonts w:ascii="Arial" w:hAnsi="Arial" w:cs="Arial"/>
          <w:lang w:val="en-GB"/>
        </w:rPr>
        <w:t xml:space="preserve">(R Core team, 2020. </w:t>
      </w:r>
      <w:hyperlink r:id="rId9" w:history="1">
        <w:r w:rsidRPr="00883FC0">
          <w:rPr>
            <w:rStyle w:val="Lienhypertexte"/>
            <w:rFonts w:ascii="Arial" w:eastAsiaTheme="majorEastAsia" w:hAnsi="Arial" w:cs="Arial"/>
            <w:color w:val="3258A4"/>
            <w:lang w:val="en-GB"/>
          </w:rPr>
          <w:t>https://www.R-project.org/</w:t>
        </w:r>
      </w:hyperlink>
      <w:r w:rsidRPr="00883FC0">
        <w:rPr>
          <w:rFonts w:ascii="Arial" w:hAnsi="Arial" w:cs="Arial"/>
          <w:lang w:val="en-GB"/>
        </w:rPr>
        <w:t>).</w:t>
      </w:r>
    </w:p>
    <w:p w14:paraId="27AA152D" w14:textId="77777777" w:rsidR="007C0A2B" w:rsidRPr="00883FC0" w:rsidRDefault="007C0A2B" w:rsidP="00A0712B">
      <w:pPr>
        <w:pStyle w:val="NormalWeb"/>
        <w:spacing w:before="0" w:beforeAutospacing="0" w:after="0" w:afterAutospacing="0" w:line="360" w:lineRule="auto"/>
        <w:jc w:val="both"/>
        <w:rPr>
          <w:rFonts w:ascii="Arial" w:hAnsi="Arial" w:cs="Arial"/>
          <w:lang w:val="en-GB"/>
        </w:rPr>
      </w:pPr>
    </w:p>
    <w:p w14:paraId="126E45FE" w14:textId="0736B337" w:rsidR="006463F4" w:rsidRPr="00883FC0" w:rsidRDefault="006463F4" w:rsidP="00A0712B">
      <w:pPr>
        <w:pStyle w:val="Titre3"/>
        <w:spacing w:before="0" w:line="360" w:lineRule="auto"/>
        <w:rPr>
          <w:rFonts w:ascii="Arial" w:hAnsi="Arial" w:cs="Arial"/>
          <w:i/>
          <w:color w:val="000000" w:themeColor="text1"/>
          <w:sz w:val="28"/>
          <w:szCs w:val="24"/>
          <w:lang w:val="en-US"/>
        </w:rPr>
      </w:pPr>
      <w:r w:rsidRPr="00883FC0">
        <w:rPr>
          <w:rFonts w:ascii="Arial" w:hAnsi="Arial" w:cs="Arial"/>
          <w:i/>
          <w:color w:val="000000" w:themeColor="text1"/>
          <w:sz w:val="28"/>
          <w:szCs w:val="24"/>
          <w:lang w:val="en-US"/>
        </w:rPr>
        <w:lastRenderedPageBreak/>
        <w:t xml:space="preserve">Statistical analyses on measures of </w:t>
      </w:r>
      <w:bookmarkEnd w:id="23"/>
      <w:r w:rsidR="009672DC" w:rsidRPr="00883FC0">
        <w:rPr>
          <w:rFonts w:ascii="Arial" w:hAnsi="Arial" w:cs="Arial"/>
          <w:i/>
          <w:color w:val="000000" w:themeColor="text1"/>
          <w:sz w:val="28"/>
          <w:szCs w:val="24"/>
          <w:lang w:val="en-US"/>
        </w:rPr>
        <w:t>resistant nematode strains</w:t>
      </w:r>
    </w:p>
    <w:p w14:paraId="2B7FCFCE" w14:textId="77777777" w:rsidR="006463F4" w:rsidRPr="00883FC0" w:rsidRDefault="006463F4" w:rsidP="00A0712B">
      <w:pPr>
        <w:pStyle w:val="NormalWeb"/>
        <w:spacing w:before="0" w:beforeAutospacing="0" w:after="0" w:afterAutospacing="0" w:line="360" w:lineRule="auto"/>
        <w:jc w:val="both"/>
        <w:rPr>
          <w:rFonts w:ascii="Arial" w:hAnsi="Arial" w:cs="Arial"/>
          <w:lang w:val="en-US"/>
        </w:rPr>
      </w:pPr>
    </w:p>
    <w:p w14:paraId="1DA28A60" w14:textId="3D50F95A" w:rsidR="00685709" w:rsidRPr="00883FC0" w:rsidRDefault="00685709" w:rsidP="00A0712B">
      <w:pPr>
        <w:pStyle w:val="NormalWeb"/>
        <w:spacing w:before="0" w:beforeAutospacing="0" w:after="0" w:afterAutospacing="0" w:line="360" w:lineRule="auto"/>
        <w:jc w:val="both"/>
        <w:rPr>
          <w:rFonts w:ascii="Arial" w:hAnsi="Arial" w:cs="Arial"/>
          <w:color w:val="000000"/>
          <w:lang w:val="en-GB"/>
        </w:rPr>
      </w:pPr>
      <w:bookmarkStart w:id="25" w:name="_Toc129193247"/>
      <w:r w:rsidRPr="00883FC0">
        <w:rPr>
          <w:rFonts w:ascii="Arial" w:hAnsi="Arial" w:cs="Arial"/>
          <w:color w:val="000000"/>
          <w:lang w:val="en-GB"/>
        </w:rPr>
        <w:t xml:space="preserve">To compare the </w:t>
      </w:r>
      <w:r w:rsidR="007C0A2B" w:rsidRPr="00883FC0">
        <w:rPr>
          <w:rFonts w:ascii="Arial" w:hAnsi="Arial" w:cs="Arial"/>
          <w:color w:val="000000"/>
          <w:lang w:val="en-GB"/>
        </w:rPr>
        <w:t>frequency</w:t>
      </w:r>
      <w:r w:rsidRPr="00883FC0">
        <w:rPr>
          <w:rFonts w:ascii="Arial" w:hAnsi="Arial" w:cs="Arial"/>
          <w:color w:val="000000"/>
          <w:lang w:val="en-GB"/>
        </w:rPr>
        <w:t xml:space="preserve"> of benzimidazole resistance </w:t>
      </w:r>
      <w:r w:rsidR="00FB1E04" w:rsidRPr="00883FC0">
        <w:rPr>
          <w:rFonts w:ascii="Arial" w:hAnsi="Arial" w:cs="Arial"/>
          <w:color w:val="000000"/>
          <w:lang w:val="en-GB"/>
        </w:rPr>
        <w:t>in</w:t>
      </w:r>
      <w:r w:rsidRPr="00883FC0">
        <w:rPr>
          <w:rFonts w:ascii="Arial" w:hAnsi="Arial" w:cs="Arial"/>
          <w:color w:val="000000"/>
          <w:lang w:val="en-GB"/>
        </w:rPr>
        <w:t xml:space="preserve"> gastrointestinal nematodes between ibex and sheep</w:t>
      </w:r>
      <w:r w:rsidR="00F542BB" w:rsidRPr="00F542BB">
        <w:rPr>
          <w:rFonts w:ascii="Arial" w:hAnsi="Arial" w:cs="Arial"/>
          <w:color w:val="000000"/>
          <w:highlight w:val="yellow"/>
          <w:lang w:val="en-GB"/>
        </w:rPr>
        <w:t>,</w:t>
      </w:r>
      <w:r w:rsidRPr="00883FC0">
        <w:rPr>
          <w:rFonts w:ascii="Arial" w:hAnsi="Arial" w:cs="Arial"/>
          <w:color w:val="000000"/>
          <w:lang w:val="en-GB"/>
        </w:rPr>
        <w:t xml:space="preserve"> and among the </w:t>
      </w:r>
      <w:r w:rsidR="002D0E01" w:rsidRPr="002D0E01">
        <w:rPr>
          <w:rFonts w:ascii="Arial" w:hAnsi="Arial" w:cs="Arial"/>
          <w:color w:val="000000"/>
          <w:highlight w:val="yellow"/>
          <w:lang w:val="en-GB"/>
        </w:rPr>
        <w:t>4</w:t>
      </w:r>
      <w:r w:rsidRPr="00883FC0">
        <w:rPr>
          <w:rFonts w:ascii="Arial" w:hAnsi="Arial" w:cs="Arial"/>
          <w:color w:val="000000"/>
          <w:lang w:val="en-GB"/>
        </w:rPr>
        <w:t xml:space="preserve"> </w:t>
      </w:r>
      <w:r w:rsidR="00F542BB" w:rsidRPr="00F542BB">
        <w:rPr>
          <w:rFonts w:ascii="Arial" w:hAnsi="Arial" w:cs="Arial"/>
          <w:color w:val="000000"/>
          <w:highlight w:val="yellow"/>
          <w:lang w:val="en-GB"/>
        </w:rPr>
        <w:t>study</w:t>
      </w:r>
      <w:r w:rsidR="00F542BB">
        <w:rPr>
          <w:rFonts w:ascii="Arial" w:hAnsi="Arial" w:cs="Arial"/>
          <w:color w:val="000000"/>
          <w:lang w:val="en-GB"/>
        </w:rPr>
        <w:t xml:space="preserve"> </w:t>
      </w:r>
      <w:r w:rsidRPr="00883FC0">
        <w:rPr>
          <w:rFonts w:ascii="Arial" w:hAnsi="Arial" w:cs="Arial"/>
          <w:color w:val="000000"/>
          <w:lang w:val="en-GB"/>
        </w:rPr>
        <w:t xml:space="preserve">sites, we tested </w:t>
      </w:r>
      <w:r w:rsidR="00F542BB" w:rsidRPr="00F542BB">
        <w:rPr>
          <w:rFonts w:ascii="Arial" w:hAnsi="Arial" w:cs="Arial"/>
          <w:color w:val="000000"/>
          <w:highlight w:val="yellow"/>
          <w:lang w:val="en-GB"/>
        </w:rPr>
        <w:t>whether</w:t>
      </w:r>
      <w:r w:rsidRPr="00883FC0">
        <w:rPr>
          <w:rFonts w:ascii="Arial" w:hAnsi="Arial" w:cs="Arial"/>
          <w:color w:val="000000"/>
          <w:lang w:val="en-GB"/>
        </w:rPr>
        <w:t xml:space="preserve"> host species, site and nematode species influence</w:t>
      </w:r>
      <w:r w:rsidR="00FB1E04" w:rsidRPr="00883FC0">
        <w:rPr>
          <w:rFonts w:ascii="Arial" w:hAnsi="Arial" w:cs="Arial"/>
          <w:color w:val="000000"/>
          <w:lang w:val="en-GB"/>
        </w:rPr>
        <w:t xml:space="preserve">d </w:t>
      </w:r>
      <w:r w:rsidRPr="00883FC0">
        <w:rPr>
          <w:rFonts w:ascii="Arial" w:hAnsi="Arial" w:cs="Arial"/>
          <w:color w:val="000000"/>
          <w:lang w:val="en-GB"/>
        </w:rPr>
        <w:t>the relative abundance of ASVs with a resistant allele. For this purpose, we used a</w:t>
      </w:r>
      <w:r w:rsidRPr="00883FC0">
        <w:rPr>
          <w:rFonts w:ascii="Arial" w:hAnsi="Arial" w:cs="Arial"/>
          <w:lang w:val="en-GB"/>
        </w:rPr>
        <w:t xml:space="preserve"> </w:t>
      </w:r>
      <w:r w:rsidRPr="00883FC0">
        <w:rPr>
          <w:rFonts w:ascii="Arial" w:hAnsi="Arial" w:cs="Arial"/>
          <w:color w:val="000000"/>
          <w:lang w:val="en-GB"/>
        </w:rPr>
        <w:t xml:space="preserve">generalized linear model with a binomial family and a model selection approach as described above. </w:t>
      </w:r>
    </w:p>
    <w:p w14:paraId="7FA337AC" w14:textId="059192F3" w:rsidR="00685709" w:rsidRPr="00883FC0" w:rsidRDefault="00685709" w:rsidP="00A0712B">
      <w:pPr>
        <w:pStyle w:val="NormalWeb"/>
        <w:spacing w:before="0" w:beforeAutospacing="0" w:after="0" w:afterAutospacing="0" w:line="360" w:lineRule="auto"/>
        <w:jc w:val="both"/>
        <w:rPr>
          <w:rFonts w:ascii="Arial" w:hAnsi="Arial" w:cs="Arial"/>
          <w:color w:val="000000"/>
          <w:lang w:val="en-GB"/>
        </w:rPr>
      </w:pPr>
      <w:r w:rsidRPr="00883FC0">
        <w:rPr>
          <w:rFonts w:ascii="Arial" w:hAnsi="Arial" w:cs="Arial"/>
          <w:color w:val="000000"/>
          <w:lang w:val="en-GB"/>
        </w:rPr>
        <w:t xml:space="preserve">We used </w:t>
      </w:r>
      <w:proofErr w:type="spellStart"/>
      <w:r w:rsidRPr="00883FC0">
        <w:rPr>
          <w:rFonts w:ascii="Arial" w:hAnsi="Arial" w:cs="Arial"/>
          <w:i/>
          <w:color w:val="000000"/>
          <w:lang w:val="en-GB"/>
        </w:rPr>
        <w:t>AlignSeqs</w:t>
      </w:r>
      <w:proofErr w:type="spellEnd"/>
      <w:r w:rsidRPr="00883FC0">
        <w:rPr>
          <w:rFonts w:ascii="Arial" w:hAnsi="Arial" w:cs="Arial"/>
          <w:color w:val="000000"/>
          <w:lang w:val="en-GB"/>
        </w:rPr>
        <w:t xml:space="preserve"> </w:t>
      </w:r>
      <w:r w:rsidRPr="00883FC0">
        <w:rPr>
          <w:rFonts w:ascii="Arial" w:hAnsi="Arial" w:cs="Arial"/>
          <w:color w:val="000000"/>
          <w:lang w:val="en-GB"/>
        </w:rPr>
        <w:fldChar w:fldCharType="begin"/>
      </w:r>
      <w:r w:rsidR="00991FDE" w:rsidRPr="00883FC0">
        <w:rPr>
          <w:rFonts w:ascii="Arial" w:hAnsi="Arial" w:cs="Arial"/>
          <w:color w:val="000000"/>
          <w:lang w:val="en-GB"/>
        </w:rPr>
        <w:instrText xml:space="preserve"> ADDIN ZOTERO_ITEM CSL_CITATION {"citationID":"ehCjKNPh","properties":{"formattedCitation":"(Wright, 2016)","plainCitation":"(Wright, 2016)","noteIndex":0},"citationItems":[{"id":719,"uris":["http://zotero.org/users/local/NciqjDvn/items/X7UZ8VTT"],"itemData":{"id":719,"type":"article-journal","container-title":"The R Journal","issue":"1","journalAbbreviation":"R. J.","page":"352-359","title":"Using DECIPHER v2.0 to Analyze Big Biological Sequence Data in R","volume":"8","author":[{"family":"Wright","given":"Erik S."}],"issued":{"date-parts":[["2016"]]}}}],"schema":"https://github.com/citation-style-language/schema/raw/master/csl-citation.json"}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(Wright, 2016)</w:t>
      </w:r>
      <w:r w:rsidRPr="00883FC0">
        <w:rPr>
          <w:rFonts w:ascii="Arial" w:hAnsi="Arial" w:cs="Arial"/>
          <w:color w:val="000000"/>
          <w:lang w:val="en-GB"/>
        </w:rPr>
        <w:fldChar w:fldCharType="end"/>
      </w:r>
      <w:r w:rsidRPr="00883FC0">
        <w:rPr>
          <w:rFonts w:ascii="Arial" w:hAnsi="Arial" w:cs="Arial"/>
          <w:color w:val="000000"/>
          <w:lang w:val="en-GB"/>
        </w:rPr>
        <w:t xml:space="preserve"> to generate multi-sequence aligned β-tubulin isotype 1 haplotype data. For each gastrointestinal species, we removed short ASVs, e.g., ASVs with a sequence length &lt;10% compar</w:t>
      </w:r>
      <w:r w:rsidR="00C73ED1" w:rsidRPr="00883FC0">
        <w:rPr>
          <w:rFonts w:ascii="Arial" w:hAnsi="Arial" w:cs="Arial"/>
          <w:color w:val="000000"/>
          <w:lang w:val="en-GB"/>
        </w:rPr>
        <w:t>ed</w:t>
      </w:r>
      <w:r w:rsidRPr="00883FC0">
        <w:rPr>
          <w:rFonts w:ascii="Arial" w:hAnsi="Arial" w:cs="Arial"/>
          <w:color w:val="000000"/>
          <w:lang w:val="en-GB"/>
        </w:rPr>
        <w:t xml:space="preserve"> to the median ASV length. </w:t>
      </w:r>
      <w:proofErr w:type="spellStart"/>
      <w:r w:rsidRPr="00883FC0">
        <w:rPr>
          <w:rFonts w:ascii="Arial" w:hAnsi="Arial" w:cs="Arial"/>
          <w:color w:val="000000"/>
          <w:lang w:val="en-GB"/>
        </w:rPr>
        <w:t>PopART</w:t>
      </w:r>
      <w:proofErr w:type="spellEnd"/>
      <w:r w:rsidRPr="00883FC0">
        <w:rPr>
          <w:rFonts w:ascii="Arial" w:hAnsi="Arial" w:cs="Arial"/>
          <w:color w:val="000000"/>
          <w:lang w:val="en-GB"/>
        </w:rPr>
        <w:t xml:space="preserve"> v1.7 </w:t>
      </w:r>
      <w:r w:rsidRPr="00883FC0">
        <w:rPr>
          <w:rFonts w:ascii="Arial" w:hAnsi="Arial" w:cs="Arial"/>
          <w:color w:val="000000"/>
          <w:lang w:val="en-GB"/>
        </w:rPr>
        <w:fldChar w:fldCharType="begin"/>
      </w:r>
      <w:r w:rsidR="00A36BEF" w:rsidRPr="00883FC0">
        <w:rPr>
          <w:rFonts w:ascii="Arial" w:hAnsi="Arial" w:cs="Arial"/>
          <w:color w:val="000000"/>
          <w:lang w:val="en-GB"/>
        </w:rPr>
        <w:instrText xml:space="preserve"> ADDIN ZOTERO_ITEM CSL_CITATION {"citationID":"t44VAUOA","properties":{"formattedCitation":"(Leigh and Bryant, 2015)","plainCitation":"(Leigh and Bryant, 2015)","noteIndex":0},"citationItems":[{"id":"hYqkjRdb/EStDWx0D","uris":["http://zotero.org/users/local/NciqjDvn/items/X928XX3N"],"itemData":{"id":3666,"type":"article-journal","abstract":"Summary\r\n\r\nHaplotype networks are an intuitive method for visualising relationships between individual genotyp","container-title":"Methods in Ecology and Evolution","DOI":"10.1111/2041-210x.12410","ISSN":"2041-210X","issue":"9","note":"publisher: Wiley","page":"1110–1116","source":"www.scinapse.io","title":"popart: full-feature software for haplotype network construction","title-short":"popart","volume":"6","author":[{"family":"Leigh","given":"Jessica W."},{"family":"Bryant","given":"David"}],"issued":{"date-parts":[["2015",9,1]]}}}],"schema":"https://github.com/citation-style-language/schema/raw/master/csl-citation.json"} </w:instrText>
      </w:r>
      <w:r w:rsidRPr="00883FC0">
        <w:rPr>
          <w:rFonts w:ascii="Arial" w:hAnsi="Arial" w:cs="Arial"/>
          <w:color w:val="000000"/>
          <w:lang w:val="en-GB"/>
        </w:rPr>
        <w:fldChar w:fldCharType="separate"/>
      </w:r>
      <w:r w:rsidR="00991FDE" w:rsidRPr="00883FC0">
        <w:rPr>
          <w:rFonts w:ascii="Arial" w:hAnsi="Arial" w:cs="Arial"/>
          <w:lang w:val="en-US"/>
        </w:rPr>
        <w:t>(Leigh and Bryant, 2015)</w:t>
      </w:r>
      <w:r w:rsidRPr="00883FC0">
        <w:rPr>
          <w:rFonts w:ascii="Arial" w:hAnsi="Arial" w:cs="Arial"/>
          <w:color w:val="000000"/>
          <w:lang w:val="en-GB"/>
        </w:rPr>
        <w:fldChar w:fldCharType="end"/>
      </w:r>
      <w:r w:rsidRPr="00883FC0">
        <w:rPr>
          <w:rFonts w:ascii="Arial" w:hAnsi="Arial" w:cs="Arial"/>
          <w:color w:val="000000"/>
          <w:lang w:val="en-GB"/>
        </w:rPr>
        <w:t xml:space="preserve"> was used to draw median joining networks based on </w:t>
      </w:r>
      <w:r w:rsidR="008A24DB" w:rsidRPr="00883FC0">
        <w:rPr>
          <w:rFonts w:ascii="Arial" w:hAnsi="Arial" w:cs="Arial"/>
          <w:color w:val="000000"/>
          <w:lang w:val="en-GB"/>
        </w:rPr>
        <w:t>the</w:t>
      </w:r>
      <w:r w:rsidRPr="00883FC0">
        <w:rPr>
          <w:rFonts w:ascii="Arial" w:hAnsi="Arial" w:cs="Arial"/>
          <w:color w:val="000000"/>
          <w:lang w:val="en-GB"/>
        </w:rPr>
        <w:t xml:space="preserve"> haplotype data</w:t>
      </w:r>
      <w:r w:rsidR="008A24DB" w:rsidRPr="00883FC0">
        <w:rPr>
          <w:rFonts w:ascii="Arial" w:hAnsi="Arial" w:cs="Arial"/>
          <w:color w:val="000000"/>
          <w:lang w:val="en-GB"/>
        </w:rPr>
        <w:t xml:space="preserve"> of each gastrointestinal nematode species</w:t>
      </w:r>
      <w:r w:rsidRPr="00883FC0">
        <w:rPr>
          <w:rFonts w:ascii="Arial" w:hAnsi="Arial" w:cs="Arial"/>
          <w:color w:val="000000"/>
          <w:lang w:val="en-GB"/>
        </w:rPr>
        <w:t xml:space="preserve">. </w:t>
      </w:r>
    </w:p>
    <w:p w14:paraId="26DE6F13" w14:textId="77777777" w:rsidR="009672DC" w:rsidRPr="00883FC0" w:rsidRDefault="009672DC" w:rsidP="00A0712B">
      <w:pPr>
        <w:pStyle w:val="NormalWeb"/>
        <w:spacing w:before="0" w:beforeAutospacing="0" w:after="0" w:afterAutospacing="0" w:line="360" w:lineRule="auto"/>
        <w:jc w:val="both"/>
        <w:rPr>
          <w:rFonts w:ascii="Arial" w:hAnsi="Arial" w:cs="Arial"/>
          <w:color w:val="000000"/>
          <w:lang w:val="en-GB"/>
        </w:rPr>
      </w:pPr>
    </w:p>
    <w:p w14:paraId="0E75B5F9" w14:textId="096B19AE" w:rsidR="006463F4" w:rsidRPr="00883FC0" w:rsidRDefault="006463F4" w:rsidP="00A0712B">
      <w:pPr>
        <w:pStyle w:val="Titre2"/>
        <w:spacing w:before="0" w:line="360" w:lineRule="auto"/>
        <w:jc w:val="center"/>
        <w:rPr>
          <w:rFonts w:ascii="Arial" w:hAnsi="Arial" w:cs="Arial"/>
          <w:b/>
          <w:color w:val="000000" w:themeColor="text1"/>
          <w:sz w:val="28"/>
          <w:szCs w:val="24"/>
          <w:lang w:val="en-US"/>
        </w:rPr>
      </w:pPr>
      <w:r w:rsidRPr="00883FC0">
        <w:rPr>
          <w:rFonts w:ascii="Arial" w:hAnsi="Arial" w:cs="Arial"/>
          <w:b/>
          <w:color w:val="000000" w:themeColor="text1"/>
          <w:sz w:val="28"/>
          <w:szCs w:val="24"/>
          <w:lang w:val="en-US"/>
        </w:rPr>
        <w:t>Results</w:t>
      </w:r>
      <w:bookmarkEnd w:id="25"/>
    </w:p>
    <w:p w14:paraId="6CC4DAA3" w14:textId="77777777" w:rsidR="00193710" w:rsidRPr="00883FC0" w:rsidRDefault="00193710" w:rsidP="00A0712B">
      <w:pPr>
        <w:spacing w:after="0" w:line="360" w:lineRule="auto"/>
        <w:rPr>
          <w:rFonts w:ascii="Arial" w:hAnsi="Arial" w:cs="Arial"/>
          <w:lang w:val="en-US"/>
        </w:rPr>
      </w:pPr>
    </w:p>
    <w:p w14:paraId="54D2B918"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bookmarkStart w:id="26" w:name="_Toc129193248"/>
      <w:r w:rsidRPr="00883FC0">
        <w:rPr>
          <w:rFonts w:ascii="Arial" w:hAnsi="Arial" w:cs="Arial"/>
          <w:i/>
          <w:color w:val="000000" w:themeColor="text1"/>
          <w:sz w:val="28"/>
          <w:szCs w:val="24"/>
          <w:lang w:val="en-US"/>
        </w:rPr>
        <w:t>Parasite material</w:t>
      </w:r>
      <w:bookmarkEnd w:id="26"/>
    </w:p>
    <w:p w14:paraId="2C73CE49" w14:textId="77777777" w:rsidR="00193710" w:rsidRPr="00883FC0" w:rsidRDefault="00193710" w:rsidP="00A0712B">
      <w:pPr>
        <w:pStyle w:val="NormalWeb"/>
        <w:spacing w:before="0" w:beforeAutospacing="0" w:after="0" w:afterAutospacing="0" w:line="360" w:lineRule="auto"/>
        <w:jc w:val="both"/>
        <w:rPr>
          <w:rFonts w:ascii="Arial" w:hAnsi="Arial" w:cs="Arial"/>
          <w:iCs/>
          <w:color w:val="000000"/>
          <w:lang w:val="en-GB"/>
        </w:rPr>
      </w:pPr>
      <w:bookmarkStart w:id="27" w:name="_Toc129193249"/>
    </w:p>
    <w:p w14:paraId="5062DB15" w14:textId="6FCAD5D9" w:rsidR="00685709" w:rsidRPr="00883FC0" w:rsidRDefault="00685709" w:rsidP="00A0712B">
      <w:pPr>
        <w:pStyle w:val="NormalWeb"/>
        <w:spacing w:before="0" w:beforeAutospacing="0" w:after="0" w:afterAutospacing="0" w:line="360" w:lineRule="auto"/>
        <w:jc w:val="both"/>
        <w:rPr>
          <w:rFonts w:ascii="Arial" w:hAnsi="Arial" w:cs="Arial"/>
          <w:iCs/>
          <w:color w:val="000000"/>
          <w:lang w:val="en-GB"/>
        </w:rPr>
      </w:pPr>
      <w:r w:rsidRPr="00883FC0">
        <w:rPr>
          <w:rFonts w:ascii="Arial" w:hAnsi="Arial" w:cs="Arial"/>
          <w:iCs/>
          <w:color w:val="000000"/>
          <w:lang w:val="en-GB"/>
        </w:rPr>
        <w:t>The median number of eggs of strongyles per gram of feces were lower in sheep (7.5[0,148]</w:t>
      </w:r>
      <w:r w:rsidRPr="00883FC0">
        <w:rPr>
          <w:rFonts w:ascii="Arial" w:hAnsi="Arial" w:cs="Arial"/>
          <w:iCs/>
          <w:color w:val="000000"/>
          <w:vertAlign w:val="subscript"/>
          <w:lang w:val="en-GB"/>
        </w:rPr>
        <w:t>95%IQR</w:t>
      </w:r>
      <w:r w:rsidRPr="00883FC0">
        <w:rPr>
          <w:rFonts w:ascii="Arial" w:hAnsi="Arial" w:cs="Arial"/>
          <w:iCs/>
          <w:color w:val="000000"/>
          <w:lang w:val="en-GB"/>
        </w:rPr>
        <w:t>; n = 90) than in ibex (15[0,163]</w:t>
      </w:r>
      <w:r w:rsidRPr="00883FC0">
        <w:rPr>
          <w:rFonts w:ascii="Arial" w:hAnsi="Arial" w:cs="Arial"/>
          <w:iCs/>
          <w:color w:val="000000"/>
          <w:vertAlign w:val="subscript"/>
          <w:lang w:val="en-GB"/>
        </w:rPr>
        <w:t>95%IQR</w:t>
      </w:r>
      <w:r w:rsidRPr="00883FC0">
        <w:rPr>
          <w:rFonts w:ascii="Arial" w:hAnsi="Arial" w:cs="Arial"/>
          <w:iCs/>
          <w:color w:val="000000"/>
          <w:lang w:val="en-GB"/>
        </w:rPr>
        <w:t xml:space="preserve">; n = 167) feces (Mann–Whitney U test; </w:t>
      </w:r>
      <w:r w:rsidRPr="00883FC0">
        <w:rPr>
          <w:rFonts w:ascii="Arial" w:hAnsi="Arial" w:cs="Arial"/>
          <w:i/>
          <w:iCs/>
          <w:color w:val="000000"/>
          <w:lang w:val="en-GB"/>
        </w:rPr>
        <w:t>W</w:t>
      </w:r>
      <w:r w:rsidRPr="00883FC0">
        <w:rPr>
          <w:rFonts w:ascii="Arial" w:hAnsi="Arial" w:cs="Arial"/>
          <w:iCs/>
          <w:color w:val="000000"/>
          <w:lang w:val="en-GB"/>
        </w:rPr>
        <w:t xml:space="preserve"> = 9043.5, </w:t>
      </w:r>
      <w:r w:rsidRPr="00883FC0">
        <w:rPr>
          <w:rFonts w:ascii="Arial" w:hAnsi="Arial" w:cs="Arial"/>
          <w:i/>
          <w:iCs/>
          <w:color w:val="000000"/>
          <w:lang w:val="en-GB"/>
        </w:rPr>
        <w:t>P</w:t>
      </w:r>
      <w:r w:rsidRPr="00883FC0">
        <w:rPr>
          <w:rFonts w:ascii="Arial" w:hAnsi="Arial" w:cs="Arial"/>
          <w:iCs/>
          <w:color w:val="000000"/>
          <w:lang w:val="en-GB"/>
        </w:rPr>
        <w:t xml:space="preserve"> = 0.006). </w:t>
      </w:r>
      <w:r w:rsidR="00F542BB" w:rsidRPr="00F542BB">
        <w:rPr>
          <w:rFonts w:ascii="Arial" w:hAnsi="Arial" w:cs="Arial"/>
          <w:iCs/>
          <w:color w:val="000000"/>
          <w:highlight w:val="yellow"/>
          <w:lang w:val="en-GB"/>
        </w:rPr>
        <w:t>Due to</w:t>
      </w:r>
      <w:r w:rsidR="00F542BB">
        <w:rPr>
          <w:rFonts w:ascii="Arial" w:hAnsi="Arial" w:cs="Arial"/>
          <w:iCs/>
          <w:color w:val="000000"/>
          <w:lang w:val="en-GB"/>
        </w:rPr>
        <w:t xml:space="preserve"> the</w:t>
      </w:r>
      <w:r w:rsidRPr="00883FC0">
        <w:rPr>
          <w:rFonts w:ascii="Arial" w:hAnsi="Arial" w:cs="Arial"/>
          <w:iCs/>
          <w:color w:val="000000"/>
          <w:lang w:val="en-GB"/>
        </w:rPr>
        <w:t xml:space="preserve"> level of infestation in some samples, the number of L3 hatched from eggs </w:t>
      </w:r>
      <w:r w:rsidRPr="00F542BB">
        <w:rPr>
          <w:rFonts w:ascii="Arial" w:hAnsi="Arial" w:cs="Arial"/>
          <w:iCs/>
          <w:color w:val="000000"/>
          <w:highlight w:val="yellow"/>
          <w:lang w:val="en-GB"/>
        </w:rPr>
        <w:t>w</w:t>
      </w:r>
      <w:r w:rsidR="00F542BB" w:rsidRPr="00F542BB">
        <w:rPr>
          <w:rFonts w:ascii="Arial" w:hAnsi="Arial" w:cs="Arial"/>
          <w:iCs/>
          <w:color w:val="000000"/>
          <w:highlight w:val="yellow"/>
          <w:lang w:val="en-GB"/>
        </w:rPr>
        <w:t>as</w:t>
      </w:r>
      <w:r w:rsidRPr="00883FC0">
        <w:rPr>
          <w:rFonts w:ascii="Arial" w:hAnsi="Arial" w:cs="Arial"/>
          <w:iCs/>
          <w:color w:val="000000"/>
          <w:lang w:val="en-GB"/>
        </w:rPr>
        <w:t xml:space="preserve"> not sufficient (</w:t>
      </w:r>
      <w:r w:rsidR="005F5967" w:rsidRPr="00883FC0">
        <w:rPr>
          <w:rFonts w:ascii="Arial" w:hAnsi="Arial" w:cs="Arial"/>
          <w:iCs/>
          <w:color w:val="000000"/>
          <w:lang w:val="en-GB"/>
        </w:rPr>
        <w:t>n</w:t>
      </w:r>
      <w:r w:rsidRPr="00883FC0">
        <w:rPr>
          <w:rFonts w:ascii="Arial" w:hAnsi="Arial" w:cs="Arial"/>
          <w:iCs/>
          <w:color w:val="000000"/>
          <w:lang w:val="en-GB"/>
        </w:rPr>
        <w:t>&lt;20) for 48 samples. These sam</w:t>
      </w:r>
      <w:r w:rsidR="0041136E" w:rsidRPr="00883FC0">
        <w:rPr>
          <w:rFonts w:ascii="Arial" w:hAnsi="Arial" w:cs="Arial"/>
          <w:iCs/>
          <w:color w:val="000000"/>
          <w:lang w:val="en-GB"/>
        </w:rPr>
        <w:t>p</w:t>
      </w:r>
      <w:r w:rsidRPr="00883FC0">
        <w:rPr>
          <w:rFonts w:ascii="Arial" w:hAnsi="Arial" w:cs="Arial"/>
          <w:iCs/>
          <w:color w:val="000000"/>
          <w:lang w:val="en-GB"/>
        </w:rPr>
        <w:t>les were not used for subsequent genetic investigations. Specifically, all samples from the Sept Laux sheep herd (n=15, Belledonne) were discarded. Therefore, the nemabiome was determined based on the ITS2 for 19</w:t>
      </w:r>
      <w:r w:rsidR="004023A9" w:rsidRPr="00883FC0">
        <w:rPr>
          <w:rFonts w:ascii="Arial" w:hAnsi="Arial" w:cs="Arial"/>
          <w:iCs/>
          <w:color w:val="000000"/>
          <w:lang w:val="en-GB"/>
        </w:rPr>
        <w:t>6</w:t>
      </w:r>
      <w:r w:rsidRPr="00883FC0">
        <w:rPr>
          <w:rFonts w:ascii="Arial" w:hAnsi="Arial" w:cs="Arial"/>
          <w:iCs/>
          <w:color w:val="000000"/>
          <w:lang w:val="en-GB"/>
        </w:rPr>
        <w:t xml:space="preserve"> (n= 5</w:t>
      </w:r>
      <w:r w:rsidR="000C3B05" w:rsidRPr="00883FC0">
        <w:rPr>
          <w:rFonts w:ascii="Arial" w:hAnsi="Arial" w:cs="Arial"/>
          <w:iCs/>
          <w:color w:val="000000"/>
          <w:lang w:val="en-GB"/>
        </w:rPr>
        <w:t>5</w:t>
      </w:r>
      <w:r w:rsidRPr="00883FC0">
        <w:rPr>
          <w:rFonts w:ascii="Arial" w:hAnsi="Arial" w:cs="Arial"/>
          <w:iCs/>
          <w:color w:val="000000"/>
          <w:lang w:val="en-GB"/>
        </w:rPr>
        <w:t xml:space="preserve"> sheep and n=14</w:t>
      </w:r>
      <w:r w:rsidR="004023A9" w:rsidRPr="00883FC0">
        <w:rPr>
          <w:rFonts w:ascii="Arial" w:hAnsi="Arial" w:cs="Arial"/>
          <w:iCs/>
          <w:color w:val="000000"/>
          <w:lang w:val="en-GB"/>
        </w:rPr>
        <w:t>1</w:t>
      </w:r>
      <w:r w:rsidRPr="00883FC0">
        <w:rPr>
          <w:rFonts w:ascii="Arial" w:hAnsi="Arial" w:cs="Arial"/>
          <w:iCs/>
          <w:color w:val="000000"/>
          <w:lang w:val="en-GB"/>
        </w:rPr>
        <w:t xml:space="preserve"> ibex) out of 209 samples for which DNA was extracted</w:t>
      </w:r>
      <w:r w:rsidR="001B5371" w:rsidRPr="00883FC0">
        <w:rPr>
          <w:rFonts w:ascii="Arial" w:hAnsi="Arial" w:cs="Arial"/>
          <w:iCs/>
          <w:color w:val="000000"/>
          <w:lang w:val="en-GB"/>
        </w:rPr>
        <w:t xml:space="preserve"> (Figure S1)</w:t>
      </w:r>
      <w:r w:rsidRPr="00883FC0">
        <w:rPr>
          <w:rFonts w:ascii="Arial" w:hAnsi="Arial" w:cs="Arial"/>
          <w:iCs/>
          <w:color w:val="000000"/>
          <w:lang w:val="en-GB"/>
        </w:rPr>
        <w:t xml:space="preserve">. </w:t>
      </w:r>
    </w:p>
    <w:p w14:paraId="79766104" w14:textId="77777777" w:rsidR="00685709" w:rsidRPr="00883FC0" w:rsidRDefault="00685709" w:rsidP="00A0712B">
      <w:pPr>
        <w:pStyle w:val="NormalWeb"/>
        <w:spacing w:before="0" w:beforeAutospacing="0" w:after="0" w:afterAutospacing="0" w:line="360" w:lineRule="auto"/>
        <w:jc w:val="both"/>
        <w:rPr>
          <w:rFonts w:ascii="Arial" w:hAnsi="Arial" w:cs="Arial"/>
          <w:iCs/>
          <w:color w:val="000000"/>
          <w:lang w:val="en-GB"/>
        </w:rPr>
      </w:pPr>
    </w:p>
    <w:p w14:paraId="24094C3C"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r w:rsidRPr="00883FC0">
        <w:rPr>
          <w:rFonts w:ascii="Arial" w:hAnsi="Arial" w:cs="Arial"/>
          <w:i/>
          <w:color w:val="000000" w:themeColor="text1"/>
          <w:sz w:val="28"/>
          <w:szCs w:val="24"/>
          <w:lang w:val="en-US"/>
        </w:rPr>
        <w:t>Diversity of gastrointestinal nematodes in sheep and ibex</w:t>
      </w:r>
      <w:bookmarkEnd w:id="27"/>
    </w:p>
    <w:p w14:paraId="13BE5285" w14:textId="77777777" w:rsidR="006463F4" w:rsidRPr="00883FC0" w:rsidRDefault="006463F4" w:rsidP="00A0712B">
      <w:pPr>
        <w:spacing w:after="0" w:line="360" w:lineRule="auto"/>
        <w:jc w:val="both"/>
        <w:rPr>
          <w:rFonts w:ascii="Arial" w:hAnsi="Arial" w:cs="Arial"/>
          <w:sz w:val="24"/>
          <w:szCs w:val="24"/>
          <w:lang w:val="en-US"/>
        </w:rPr>
      </w:pPr>
    </w:p>
    <w:p w14:paraId="121C2D38" w14:textId="7DA8EEAC" w:rsidR="00685709" w:rsidRPr="00883FC0" w:rsidRDefault="00685709" w:rsidP="00A0712B">
      <w:pPr>
        <w:pStyle w:val="NormalWeb"/>
        <w:spacing w:before="0" w:beforeAutospacing="0" w:after="0" w:afterAutospacing="0" w:line="360" w:lineRule="auto"/>
        <w:ind w:firstLine="708"/>
        <w:jc w:val="both"/>
        <w:rPr>
          <w:rFonts w:ascii="Arial" w:hAnsi="Arial" w:cs="Arial"/>
          <w:iCs/>
          <w:lang w:val="en-GB"/>
        </w:rPr>
      </w:pPr>
      <w:r w:rsidRPr="00883FC0">
        <w:rPr>
          <w:rFonts w:ascii="Arial" w:hAnsi="Arial" w:cs="Arial"/>
          <w:iCs/>
          <w:lang w:val="en-GB"/>
        </w:rPr>
        <w:t>In total, we detected 4</w:t>
      </w:r>
      <w:r w:rsidR="000A7D45" w:rsidRPr="00883FC0">
        <w:rPr>
          <w:rFonts w:ascii="Arial" w:hAnsi="Arial" w:cs="Arial"/>
          <w:iCs/>
          <w:lang w:val="en-GB"/>
        </w:rPr>
        <w:t>08</w:t>
      </w:r>
      <w:r w:rsidRPr="00883FC0">
        <w:rPr>
          <w:rFonts w:ascii="Arial" w:hAnsi="Arial" w:cs="Arial"/>
          <w:iCs/>
          <w:lang w:val="en-GB"/>
        </w:rPr>
        <w:t xml:space="preserve"> ASVs corresponding to 13 gastrointestinal nematode species (</w:t>
      </w:r>
      <w:r w:rsidRPr="00883FC0">
        <w:rPr>
          <w:rFonts w:ascii="Arial" w:hAnsi="Arial" w:cs="Arial"/>
          <w:iCs/>
          <w:lang w:val="en-GB"/>
        </w:rPr>
        <w:fldChar w:fldCharType="begin"/>
      </w:r>
      <w:r w:rsidRPr="00883FC0">
        <w:rPr>
          <w:rFonts w:ascii="Arial" w:hAnsi="Arial" w:cs="Arial"/>
          <w:iCs/>
          <w:lang w:val="en-GB"/>
        </w:rPr>
        <w:instrText xml:space="preserve"> REF _Ref128754062 \h  \* MERGEFORMAT </w:instrText>
      </w:r>
      <w:r w:rsidRPr="00883FC0">
        <w:rPr>
          <w:rFonts w:ascii="Arial" w:hAnsi="Arial" w:cs="Arial"/>
          <w:iCs/>
          <w:lang w:val="en-GB"/>
        </w:rPr>
      </w:r>
      <w:r w:rsidRPr="00883FC0">
        <w:rPr>
          <w:rFonts w:ascii="Arial" w:hAnsi="Arial" w:cs="Arial"/>
          <w:iCs/>
          <w:lang w:val="en-GB"/>
        </w:rPr>
        <w:fldChar w:fldCharType="separate"/>
      </w:r>
      <w:r w:rsidR="00870D7F" w:rsidRPr="00870D7F">
        <w:rPr>
          <w:rFonts w:ascii="Arial" w:hAnsi="Arial" w:cs="Arial"/>
          <w:lang w:val="en-GB"/>
        </w:rPr>
        <w:t xml:space="preserve">Table </w:t>
      </w:r>
      <w:r w:rsidR="00870D7F" w:rsidRPr="00870D7F">
        <w:rPr>
          <w:rFonts w:ascii="Arial" w:hAnsi="Arial" w:cs="Arial"/>
          <w:noProof/>
          <w:lang w:val="en-GB"/>
        </w:rPr>
        <w:t>3</w:t>
      </w:r>
      <w:r w:rsidRPr="00883FC0">
        <w:rPr>
          <w:rFonts w:ascii="Arial" w:hAnsi="Arial" w:cs="Arial"/>
          <w:iCs/>
          <w:lang w:val="en-GB"/>
        </w:rPr>
        <w:fldChar w:fldCharType="end"/>
      </w:r>
      <w:r w:rsidRPr="00883FC0">
        <w:rPr>
          <w:rFonts w:ascii="Arial" w:hAnsi="Arial" w:cs="Arial"/>
          <w:iCs/>
          <w:lang w:val="en-GB"/>
        </w:rPr>
        <w:t xml:space="preserve">, </w:t>
      </w:r>
      <w:r w:rsidR="00D71677" w:rsidRPr="00883FC0">
        <w:rPr>
          <w:rFonts w:ascii="Arial" w:hAnsi="Arial" w:cs="Arial"/>
          <w:iCs/>
          <w:lang w:val="en-GB"/>
        </w:rPr>
        <w:t>Figure S</w:t>
      </w:r>
      <w:r w:rsidR="001B5371" w:rsidRPr="00883FC0">
        <w:rPr>
          <w:rFonts w:ascii="Arial" w:hAnsi="Arial" w:cs="Arial"/>
          <w:iCs/>
          <w:lang w:val="en-GB"/>
        </w:rPr>
        <w:t>4</w:t>
      </w:r>
      <w:r w:rsidRPr="00883FC0">
        <w:rPr>
          <w:rFonts w:ascii="Arial" w:hAnsi="Arial" w:cs="Arial"/>
          <w:iCs/>
          <w:lang w:val="en-GB"/>
        </w:rPr>
        <w:t xml:space="preserve">). Eight ASVs were assigned to the genus level (i.e., </w:t>
      </w:r>
      <w:r w:rsidRPr="00883FC0">
        <w:rPr>
          <w:rFonts w:ascii="Arial" w:hAnsi="Arial" w:cs="Arial"/>
          <w:i/>
          <w:lang w:val="en-GB"/>
        </w:rPr>
        <w:t>Marshallagia</w:t>
      </w:r>
      <w:r w:rsidRPr="00883FC0">
        <w:rPr>
          <w:rFonts w:ascii="Arial" w:hAnsi="Arial" w:cs="Arial"/>
          <w:iCs/>
          <w:lang w:val="en-GB"/>
        </w:rPr>
        <w:t xml:space="preserve"> spp., </w:t>
      </w:r>
      <w:r w:rsidRPr="00883FC0">
        <w:rPr>
          <w:rFonts w:ascii="Arial" w:hAnsi="Arial" w:cs="Arial"/>
          <w:i/>
          <w:lang w:val="en-GB"/>
        </w:rPr>
        <w:t>Nematodirus</w:t>
      </w:r>
      <w:r w:rsidRPr="00883FC0">
        <w:rPr>
          <w:rFonts w:ascii="Arial" w:hAnsi="Arial" w:cs="Arial"/>
          <w:iCs/>
          <w:lang w:val="en-GB"/>
        </w:rPr>
        <w:t xml:space="preserve"> spp. and </w:t>
      </w:r>
      <w:r w:rsidRPr="00883FC0">
        <w:rPr>
          <w:rFonts w:ascii="Arial" w:hAnsi="Arial" w:cs="Arial"/>
          <w:i/>
          <w:lang w:val="en-GB"/>
        </w:rPr>
        <w:t>Trichostrongylus</w:t>
      </w:r>
      <w:r w:rsidRPr="00883FC0">
        <w:rPr>
          <w:rFonts w:ascii="Arial" w:hAnsi="Arial" w:cs="Arial"/>
          <w:iCs/>
          <w:lang w:val="en-GB"/>
        </w:rPr>
        <w:t xml:space="preserve"> spp.) due to non-identical assignation among taxonomic methods. An ASV corresponding to the lungworm </w:t>
      </w:r>
      <w:r w:rsidRPr="00883FC0">
        <w:rPr>
          <w:rFonts w:ascii="Arial" w:hAnsi="Arial" w:cs="Arial"/>
          <w:i/>
          <w:iCs/>
          <w:lang w:val="en-GB"/>
        </w:rPr>
        <w:lastRenderedPageBreak/>
        <w:t>Cystocaulus ocreatus</w:t>
      </w:r>
      <w:r w:rsidRPr="00883FC0">
        <w:rPr>
          <w:rFonts w:ascii="Arial" w:hAnsi="Arial" w:cs="Arial"/>
          <w:iCs/>
          <w:lang w:val="en-GB"/>
        </w:rPr>
        <w:t xml:space="preserve"> </w:t>
      </w:r>
      <w:r w:rsidR="008A24DB" w:rsidRPr="00883FC0">
        <w:rPr>
          <w:rFonts w:ascii="Arial" w:hAnsi="Arial" w:cs="Arial"/>
          <w:iCs/>
          <w:lang w:val="en-GB"/>
        </w:rPr>
        <w:t>was</w:t>
      </w:r>
      <w:r w:rsidRPr="00883FC0">
        <w:rPr>
          <w:rFonts w:ascii="Arial" w:hAnsi="Arial" w:cs="Arial"/>
          <w:iCs/>
          <w:lang w:val="en-GB"/>
        </w:rPr>
        <w:t xml:space="preserve"> discarded for the statistical analyses because we only focus on gastrointestinal nematodes.</w:t>
      </w:r>
    </w:p>
    <w:p w14:paraId="5DFF78FC" w14:textId="12EF786D" w:rsidR="00685709" w:rsidRPr="00883FC0" w:rsidRDefault="00685709" w:rsidP="00A0712B">
      <w:pPr>
        <w:pStyle w:val="NormalWeb"/>
        <w:spacing w:before="0" w:beforeAutospacing="0" w:after="0" w:afterAutospacing="0" w:line="360" w:lineRule="auto"/>
        <w:ind w:firstLine="708"/>
        <w:jc w:val="both"/>
        <w:rPr>
          <w:rFonts w:ascii="Arial" w:hAnsi="Arial" w:cs="Arial"/>
          <w:iCs/>
          <w:color w:val="000000"/>
          <w:lang w:val="en-GB"/>
        </w:rPr>
      </w:pPr>
      <w:r w:rsidRPr="00883FC0">
        <w:rPr>
          <w:rFonts w:ascii="Arial" w:hAnsi="Arial" w:cs="Arial"/>
          <w:i/>
          <w:iCs/>
          <w:lang w:val="en-GB"/>
        </w:rPr>
        <w:t xml:space="preserve">Teladorsagia circumcincta </w:t>
      </w:r>
      <w:r w:rsidRPr="00883FC0">
        <w:rPr>
          <w:rFonts w:ascii="Arial" w:hAnsi="Arial" w:cs="Arial"/>
          <w:iCs/>
          <w:lang w:val="en-GB"/>
        </w:rPr>
        <w:t>was the most prevalent nematode species and was detected in 85% of samples (90%, n=12</w:t>
      </w:r>
      <w:r w:rsidR="00F203B6" w:rsidRPr="00883FC0">
        <w:rPr>
          <w:rFonts w:ascii="Arial" w:hAnsi="Arial" w:cs="Arial"/>
          <w:iCs/>
          <w:lang w:val="en-GB"/>
        </w:rPr>
        <w:t>7</w:t>
      </w:r>
      <w:r w:rsidRPr="00883FC0">
        <w:rPr>
          <w:rFonts w:ascii="Arial" w:hAnsi="Arial" w:cs="Arial"/>
          <w:iCs/>
          <w:lang w:val="en-GB"/>
        </w:rPr>
        <w:t>/14</w:t>
      </w:r>
      <w:r w:rsidR="008406CB" w:rsidRPr="00883FC0">
        <w:rPr>
          <w:rFonts w:ascii="Arial" w:hAnsi="Arial" w:cs="Arial"/>
          <w:iCs/>
          <w:lang w:val="en-GB"/>
        </w:rPr>
        <w:t>1</w:t>
      </w:r>
      <w:r w:rsidRPr="00883FC0">
        <w:rPr>
          <w:rFonts w:ascii="Arial" w:hAnsi="Arial" w:cs="Arial"/>
          <w:iCs/>
          <w:lang w:val="en-GB"/>
        </w:rPr>
        <w:t xml:space="preserve"> ibex and 71%, n=</w:t>
      </w:r>
      <w:r w:rsidR="00F203B6" w:rsidRPr="00883FC0">
        <w:rPr>
          <w:rFonts w:ascii="Arial" w:hAnsi="Arial" w:cs="Arial"/>
          <w:iCs/>
          <w:lang w:val="en-GB"/>
        </w:rPr>
        <w:t>39</w:t>
      </w:r>
      <w:r w:rsidRPr="00883FC0">
        <w:rPr>
          <w:rFonts w:ascii="Arial" w:hAnsi="Arial" w:cs="Arial"/>
          <w:iCs/>
          <w:lang w:val="en-GB"/>
        </w:rPr>
        <w:t>/5</w:t>
      </w:r>
      <w:r w:rsidR="00004115" w:rsidRPr="00883FC0">
        <w:rPr>
          <w:rFonts w:ascii="Arial" w:hAnsi="Arial" w:cs="Arial"/>
          <w:iCs/>
          <w:lang w:val="en-GB"/>
        </w:rPr>
        <w:t xml:space="preserve">5 </w:t>
      </w:r>
      <w:r w:rsidRPr="00883FC0">
        <w:rPr>
          <w:rFonts w:ascii="Arial" w:hAnsi="Arial" w:cs="Arial"/>
          <w:iCs/>
          <w:lang w:val="en-GB"/>
        </w:rPr>
        <w:t>sheep), followed by</w:t>
      </w:r>
      <w:r w:rsidRPr="00883FC0">
        <w:rPr>
          <w:rFonts w:ascii="Arial" w:hAnsi="Arial" w:cs="Arial"/>
          <w:i/>
          <w:iCs/>
          <w:lang w:val="en-GB"/>
        </w:rPr>
        <w:t xml:space="preserve"> Trichostrongylus vitrinus,</w:t>
      </w:r>
      <w:r w:rsidRPr="00883FC0">
        <w:rPr>
          <w:rFonts w:ascii="Arial" w:hAnsi="Arial" w:cs="Arial"/>
          <w:iCs/>
          <w:lang w:val="en-GB"/>
        </w:rPr>
        <w:t xml:space="preserve"> 63% (73%, n=10</w:t>
      </w:r>
      <w:r w:rsidR="00F203B6" w:rsidRPr="00883FC0">
        <w:rPr>
          <w:rFonts w:ascii="Arial" w:hAnsi="Arial" w:cs="Arial"/>
          <w:iCs/>
          <w:lang w:val="en-GB"/>
        </w:rPr>
        <w:t>3</w:t>
      </w:r>
      <w:r w:rsidRPr="00883FC0">
        <w:rPr>
          <w:rFonts w:ascii="Arial" w:hAnsi="Arial" w:cs="Arial"/>
          <w:iCs/>
          <w:lang w:val="en-GB"/>
        </w:rPr>
        <w:t>/14</w:t>
      </w:r>
      <w:r w:rsidR="00F203B6" w:rsidRPr="00883FC0">
        <w:rPr>
          <w:rFonts w:ascii="Arial" w:hAnsi="Arial" w:cs="Arial"/>
          <w:iCs/>
          <w:lang w:val="en-GB"/>
        </w:rPr>
        <w:t>1</w:t>
      </w:r>
      <w:r w:rsidRPr="00883FC0">
        <w:rPr>
          <w:rFonts w:ascii="Arial" w:hAnsi="Arial" w:cs="Arial"/>
          <w:iCs/>
          <w:lang w:val="en-GB"/>
        </w:rPr>
        <w:t xml:space="preserve"> ibex and 3</w:t>
      </w:r>
      <w:r w:rsidR="00F203B6" w:rsidRPr="00883FC0">
        <w:rPr>
          <w:rFonts w:ascii="Arial" w:hAnsi="Arial" w:cs="Arial"/>
          <w:iCs/>
          <w:lang w:val="en-GB"/>
        </w:rPr>
        <w:t>6</w:t>
      </w:r>
      <w:r w:rsidRPr="00883FC0">
        <w:rPr>
          <w:rFonts w:ascii="Arial" w:hAnsi="Arial" w:cs="Arial"/>
          <w:iCs/>
          <w:lang w:val="en-GB"/>
        </w:rPr>
        <w:t>%, n=2</w:t>
      </w:r>
      <w:r w:rsidR="00F203B6" w:rsidRPr="00883FC0">
        <w:rPr>
          <w:rFonts w:ascii="Arial" w:hAnsi="Arial" w:cs="Arial"/>
          <w:iCs/>
          <w:lang w:val="en-GB"/>
        </w:rPr>
        <w:t>0</w:t>
      </w:r>
      <w:r w:rsidRPr="00883FC0">
        <w:rPr>
          <w:rFonts w:ascii="Arial" w:hAnsi="Arial" w:cs="Arial"/>
          <w:iCs/>
          <w:lang w:val="en-GB"/>
        </w:rPr>
        <w:t>/5</w:t>
      </w:r>
      <w:r w:rsidR="00F203B6" w:rsidRPr="00883FC0">
        <w:rPr>
          <w:rFonts w:ascii="Arial" w:hAnsi="Arial" w:cs="Arial"/>
          <w:iCs/>
          <w:lang w:val="en-GB"/>
        </w:rPr>
        <w:t>5</w:t>
      </w:r>
      <w:r w:rsidRPr="00883FC0">
        <w:rPr>
          <w:rFonts w:ascii="Arial" w:hAnsi="Arial" w:cs="Arial"/>
          <w:iCs/>
          <w:lang w:val="en-GB"/>
        </w:rPr>
        <w:t xml:space="preserve"> sheep) and </w:t>
      </w:r>
      <w:r w:rsidRPr="00883FC0">
        <w:rPr>
          <w:rFonts w:ascii="Arial" w:hAnsi="Arial" w:cs="Arial"/>
          <w:i/>
          <w:iCs/>
          <w:lang w:val="en-GB"/>
        </w:rPr>
        <w:t>Haemonchus contortus,</w:t>
      </w:r>
      <w:r w:rsidRPr="00883FC0">
        <w:rPr>
          <w:rFonts w:ascii="Arial" w:hAnsi="Arial" w:cs="Arial"/>
          <w:iCs/>
          <w:lang w:val="en-GB"/>
        </w:rPr>
        <w:t xml:space="preserve"> 56% (70%, n=9</w:t>
      </w:r>
      <w:r w:rsidR="00F203B6" w:rsidRPr="00883FC0">
        <w:rPr>
          <w:rFonts w:ascii="Arial" w:hAnsi="Arial" w:cs="Arial"/>
          <w:iCs/>
          <w:lang w:val="en-GB"/>
        </w:rPr>
        <w:t>8</w:t>
      </w:r>
      <w:r w:rsidRPr="00883FC0">
        <w:rPr>
          <w:rFonts w:ascii="Arial" w:hAnsi="Arial" w:cs="Arial"/>
          <w:iCs/>
          <w:lang w:val="en-GB"/>
        </w:rPr>
        <w:t>/14</w:t>
      </w:r>
      <w:r w:rsidR="00F203B6" w:rsidRPr="00883FC0">
        <w:rPr>
          <w:rFonts w:ascii="Arial" w:hAnsi="Arial" w:cs="Arial"/>
          <w:iCs/>
          <w:lang w:val="en-GB"/>
        </w:rPr>
        <w:t>1</w:t>
      </w:r>
      <w:r w:rsidRPr="00883FC0">
        <w:rPr>
          <w:rFonts w:ascii="Arial" w:hAnsi="Arial" w:cs="Arial"/>
          <w:iCs/>
          <w:lang w:val="en-GB"/>
        </w:rPr>
        <w:t xml:space="preserve"> ibex and 2</w:t>
      </w:r>
      <w:r w:rsidR="00F203B6" w:rsidRPr="00883FC0">
        <w:rPr>
          <w:rFonts w:ascii="Arial" w:hAnsi="Arial" w:cs="Arial"/>
          <w:iCs/>
          <w:lang w:val="en-GB"/>
        </w:rPr>
        <w:t>2</w:t>
      </w:r>
      <w:r w:rsidRPr="00883FC0">
        <w:rPr>
          <w:rFonts w:ascii="Arial" w:hAnsi="Arial" w:cs="Arial"/>
          <w:iCs/>
          <w:lang w:val="en-GB"/>
        </w:rPr>
        <w:t>%, n=12/5</w:t>
      </w:r>
      <w:r w:rsidR="00F203B6" w:rsidRPr="00883FC0">
        <w:rPr>
          <w:rFonts w:ascii="Arial" w:hAnsi="Arial" w:cs="Arial"/>
          <w:iCs/>
          <w:lang w:val="en-GB"/>
        </w:rPr>
        <w:t>5</w:t>
      </w:r>
      <w:r w:rsidRPr="00883FC0">
        <w:rPr>
          <w:rFonts w:ascii="Arial" w:hAnsi="Arial" w:cs="Arial"/>
          <w:iCs/>
          <w:lang w:val="en-GB"/>
        </w:rPr>
        <w:t xml:space="preserve"> sheep) (</w:t>
      </w:r>
      <w:r w:rsidRPr="00883FC0">
        <w:rPr>
          <w:rFonts w:ascii="Arial" w:hAnsi="Arial" w:cs="Arial"/>
          <w:iCs/>
          <w:lang w:val="en-GB"/>
        </w:rPr>
        <w:fldChar w:fldCharType="begin"/>
      </w:r>
      <w:r w:rsidRPr="00883FC0">
        <w:rPr>
          <w:rFonts w:ascii="Arial" w:hAnsi="Arial" w:cs="Arial"/>
          <w:iCs/>
          <w:lang w:val="en-GB"/>
        </w:rPr>
        <w:instrText xml:space="preserve"> REF _Ref128754062 \h  \* MERGEFORMAT </w:instrText>
      </w:r>
      <w:r w:rsidRPr="00883FC0">
        <w:rPr>
          <w:rFonts w:ascii="Arial" w:hAnsi="Arial" w:cs="Arial"/>
          <w:iCs/>
          <w:lang w:val="en-GB"/>
        </w:rPr>
      </w:r>
      <w:r w:rsidRPr="00883FC0">
        <w:rPr>
          <w:rFonts w:ascii="Arial" w:hAnsi="Arial" w:cs="Arial"/>
          <w:iCs/>
          <w:lang w:val="en-GB"/>
        </w:rPr>
        <w:fldChar w:fldCharType="separate"/>
      </w:r>
      <w:r w:rsidR="00870D7F" w:rsidRPr="00870D7F">
        <w:rPr>
          <w:rFonts w:ascii="Arial" w:hAnsi="Arial" w:cs="Arial"/>
          <w:lang w:val="en-GB"/>
        </w:rPr>
        <w:t xml:space="preserve">Table </w:t>
      </w:r>
      <w:r w:rsidR="00870D7F" w:rsidRPr="00870D7F">
        <w:rPr>
          <w:rFonts w:ascii="Arial" w:hAnsi="Arial" w:cs="Arial"/>
          <w:noProof/>
          <w:lang w:val="en-GB"/>
        </w:rPr>
        <w:t>3</w:t>
      </w:r>
      <w:r w:rsidRPr="00883FC0">
        <w:rPr>
          <w:rFonts w:ascii="Arial" w:hAnsi="Arial" w:cs="Arial"/>
          <w:iCs/>
          <w:lang w:val="en-GB"/>
        </w:rPr>
        <w:fldChar w:fldCharType="end"/>
      </w:r>
      <w:r w:rsidRPr="00883FC0">
        <w:rPr>
          <w:rFonts w:ascii="Arial" w:hAnsi="Arial" w:cs="Arial"/>
          <w:iCs/>
          <w:lang w:val="en-GB"/>
        </w:rPr>
        <w:t>,</w:t>
      </w:r>
      <w:r w:rsidR="00D71677" w:rsidRPr="00883FC0">
        <w:rPr>
          <w:rFonts w:ascii="Arial" w:hAnsi="Arial" w:cs="Arial"/>
          <w:iCs/>
          <w:lang w:val="en-GB"/>
        </w:rPr>
        <w:t xml:space="preserve"> Figure S</w:t>
      </w:r>
      <w:r w:rsidR="001B5371" w:rsidRPr="00883FC0">
        <w:rPr>
          <w:rFonts w:ascii="Arial" w:hAnsi="Arial" w:cs="Arial"/>
          <w:iCs/>
          <w:lang w:val="en-GB"/>
        </w:rPr>
        <w:t>4</w:t>
      </w:r>
      <w:r w:rsidRPr="00883FC0">
        <w:rPr>
          <w:rFonts w:ascii="Arial" w:hAnsi="Arial" w:cs="Arial"/>
          <w:iCs/>
          <w:lang w:val="en-GB"/>
        </w:rPr>
        <w:t xml:space="preserve">). </w:t>
      </w:r>
      <w:r w:rsidRPr="00883FC0">
        <w:rPr>
          <w:rFonts w:ascii="Arial" w:hAnsi="Arial" w:cs="Arial"/>
          <w:i/>
          <w:iCs/>
          <w:lang w:val="en-GB"/>
        </w:rPr>
        <w:t>Nematodirus</w:t>
      </w:r>
      <w:r w:rsidRPr="00883FC0">
        <w:rPr>
          <w:rFonts w:ascii="Arial" w:hAnsi="Arial" w:cs="Arial"/>
          <w:iCs/>
          <w:lang w:val="en-GB"/>
        </w:rPr>
        <w:t xml:space="preserve"> spp. and </w:t>
      </w:r>
      <w:r w:rsidRPr="00883FC0">
        <w:rPr>
          <w:rFonts w:ascii="Arial" w:hAnsi="Arial" w:cs="Arial"/>
          <w:i/>
          <w:iCs/>
          <w:lang w:val="en-GB"/>
        </w:rPr>
        <w:t>Ostertagia leptospicularis</w:t>
      </w:r>
      <w:r w:rsidRPr="00883FC0">
        <w:rPr>
          <w:rFonts w:ascii="Arial" w:hAnsi="Arial" w:cs="Arial"/>
          <w:iCs/>
          <w:lang w:val="en-GB"/>
        </w:rPr>
        <w:t xml:space="preserve"> were the rarest species and were detected in only 2 and 1 sample, respectively and with a very l</w:t>
      </w:r>
      <w:r w:rsidR="008A24DB" w:rsidRPr="00883FC0">
        <w:rPr>
          <w:rFonts w:ascii="Arial" w:hAnsi="Arial" w:cs="Arial"/>
          <w:iCs/>
          <w:lang w:val="en-GB"/>
        </w:rPr>
        <w:t>ow</w:t>
      </w:r>
      <w:r w:rsidRPr="00883FC0">
        <w:rPr>
          <w:rFonts w:ascii="Arial" w:hAnsi="Arial" w:cs="Arial"/>
          <w:iCs/>
          <w:lang w:val="en-GB"/>
        </w:rPr>
        <w:t xml:space="preserve"> relative frequency </w:t>
      </w:r>
      <w:r w:rsidRPr="00883FC0">
        <w:rPr>
          <w:rFonts w:ascii="Arial" w:hAnsi="Arial" w:cs="Arial"/>
          <w:iCs/>
          <w:color w:val="000000"/>
          <w:lang w:val="en-GB"/>
        </w:rPr>
        <w:t>(&lt;0.1%).</w:t>
      </w:r>
    </w:p>
    <w:p w14:paraId="2CD14BDE" w14:textId="2E664E94" w:rsidR="00685709" w:rsidRPr="00883FC0" w:rsidRDefault="00685709" w:rsidP="00A0712B">
      <w:pPr>
        <w:pStyle w:val="NormalWeb"/>
        <w:spacing w:before="0" w:beforeAutospacing="0" w:after="0" w:afterAutospacing="0" w:line="360" w:lineRule="auto"/>
        <w:jc w:val="both"/>
        <w:rPr>
          <w:rFonts w:ascii="Arial" w:hAnsi="Arial" w:cs="Arial"/>
          <w:lang w:val="en-GB"/>
        </w:rPr>
      </w:pPr>
      <w:r w:rsidRPr="00883FC0">
        <w:rPr>
          <w:rFonts w:ascii="Arial" w:hAnsi="Arial" w:cs="Arial"/>
          <w:lang w:val="en-GB"/>
        </w:rPr>
        <w:t>The</w:t>
      </w:r>
      <w:r w:rsidR="00F12087" w:rsidRPr="00883FC0">
        <w:rPr>
          <w:rFonts w:ascii="Arial" w:hAnsi="Arial" w:cs="Arial"/>
          <w:lang w:val="en-GB"/>
        </w:rPr>
        <w:t xml:space="preserve"> </w:t>
      </w:r>
      <w:r w:rsidR="00F12087" w:rsidRPr="002D0E01">
        <w:rPr>
          <w:rFonts w:ascii="Arial" w:hAnsi="Arial" w:cs="Arial"/>
          <w:highlight w:val="yellow"/>
          <w:lang w:val="en-GB"/>
        </w:rPr>
        <w:t>parasite</w:t>
      </w:r>
      <w:r w:rsidR="002D0E01" w:rsidRPr="002D0E01">
        <w:rPr>
          <w:rFonts w:ascii="Arial" w:hAnsi="Arial" w:cs="Arial"/>
          <w:highlight w:val="yellow"/>
          <w:lang w:val="en-GB"/>
        </w:rPr>
        <w:t>s</w:t>
      </w:r>
      <w:r w:rsidR="00F12087" w:rsidRPr="00883FC0">
        <w:rPr>
          <w:rFonts w:ascii="Arial" w:hAnsi="Arial" w:cs="Arial"/>
          <w:lang w:val="en-GB"/>
        </w:rPr>
        <w:t xml:space="preserve"> of the genus</w:t>
      </w:r>
      <w:r w:rsidRPr="00883FC0">
        <w:rPr>
          <w:rFonts w:ascii="Arial" w:hAnsi="Arial" w:cs="Arial"/>
          <w:lang w:val="en-GB"/>
        </w:rPr>
        <w:t xml:space="preserve"> </w:t>
      </w:r>
      <w:r w:rsidRPr="00883FC0">
        <w:rPr>
          <w:rFonts w:ascii="Arial" w:hAnsi="Arial" w:cs="Arial"/>
          <w:i/>
          <w:lang w:val="en-GB"/>
        </w:rPr>
        <w:t>Nematodirus</w:t>
      </w:r>
      <w:r w:rsidRPr="00883FC0">
        <w:rPr>
          <w:rFonts w:ascii="Arial" w:hAnsi="Arial" w:cs="Arial"/>
          <w:lang w:val="en-GB"/>
        </w:rPr>
        <w:t xml:space="preserve"> were not considered for the following results as our </w:t>
      </w:r>
      <w:r w:rsidR="00F12087" w:rsidRPr="00883FC0">
        <w:rPr>
          <w:rFonts w:ascii="Arial" w:hAnsi="Arial" w:cs="Arial"/>
          <w:lang w:val="en-GB"/>
        </w:rPr>
        <w:t xml:space="preserve">coproculture </w:t>
      </w:r>
      <w:r w:rsidRPr="00883FC0">
        <w:rPr>
          <w:rFonts w:ascii="Arial" w:hAnsi="Arial" w:cs="Arial"/>
          <w:lang w:val="en-GB"/>
        </w:rPr>
        <w:t>protocol is not</w:t>
      </w:r>
      <w:r w:rsidR="00F12087" w:rsidRPr="00883FC0">
        <w:rPr>
          <w:rFonts w:ascii="Arial" w:hAnsi="Arial" w:cs="Arial"/>
          <w:lang w:val="en-GB"/>
        </w:rPr>
        <w:t xml:space="preserve"> the most</w:t>
      </w:r>
      <w:r w:rsidRPr="00883FC0">
        <w:rPr>
          <w:rFonts w:ascii="Arial" w:hAnsi="Arial" w:cs="Arial"/>
          <w:lang w:val="en-GB"/>
        </w:rPr>
        <w:t xml:space="preserve"> appropriate for th</w:t>
      </w:r>
      <w:r w:rsidR="00F12087" w:rsidRPr="00883FC0">
        <w:rPr>
          <w:rFonts w:ascii="Arial" w:hAnsi="Arial" w:cs="Arial"/>
          <w:lang w:val="en-GB"/>
        </w:rPr>
        <w:t>e</w:t>
      </w:r>
      <w:r w:rsidRPr="00883FC0">
        <w:rPr>
          <w:rFonts w:ascii="Arial" w:hAnsi="Arial" w:cs="Arial"/>
          <w:lang w:val="en-GB"/>
        </w:rPr>
        <w:t>s</w:t>
      </w:r>
      <w:r w:rsidR="00F12087" w:rsidRPr="00883FC0">
        <w:rPr>
          <w:rFonts w:ascii="Arial" w:hAnsi="Arial" w:cs="Arial"/>
          <w:lang w:val="en-GB"/>
        </w:rPr>
        <w:t>e</w:t>
      </w:r>
      <w:r w:rsidRPr="00883FC0">
        <w:rPr>
          <w:rFonts w:ascii="Arial" w:hAnsi="Arial" w:cs="Arial"/>
          <w:lang w:val="en-GB"/>
        </w:rPr>
        <w:t xml:space="preserve"> </w:t>
      </w:r>
      <w:r w:rsidR="00F12087" w:rsidRPr="00883FC0">
        <w:rPr>
          <w:rFonts w:ascii="Arial" w:hAnsi="Arial" w:cs="Arial"/>
          <w:lang w:val="en-GB"/>
        </w:rPr>
        <w:t>parasites</w:t>
      </w:r>
      <w:r w:rsidR="007C0A2B" w:rsidRPr="00883FC0">
        <w:rPr>
          <w:rFonts w:ascii="Arial" w:hAnsi="Arial" w:cs="Arial"/>
          <w:lang w:val="en-GB"/>
        </w:rPr>
        <w:t xml:space="preserve"> (i.e.,</w:t>
      </w:r>
      <w:r w:rsidR="00F12087" w:rsidRPr="00883FC0">
        <w:rPr>
          <w:rFonts w:ascii="Arial" w:hAnsi="Arial" w:cs="Arial"/>
          <w:lang w:val="en-GB"/>
        </w:rPr>
        <w:t xml:space="preserve"> some </w:t>
      </w:r>
      <w:r w:rsidRPr="00883FC0">
        <w:rPr>
          <w:rFonts w:ascii="Arial" w:hAnsi="Arial" w:cs="Arial"/>
          <w:lang w:val="en-GB"/>
        </w:rPr>
        <w:t>species</w:t>
      </w:r>
      <w:r w:rsidR="00F12087" w:rsidRPr="00883FC0">
        <w:rPr>
          <w:rFonts w:ascii="Arial" w:hAnsi="Arial" w:cs="Arial"/>
          <w:lang w:val="en-GB"/>
        </w:rPr>
        <w:t xml:space="preserve"> need more than 2 weeks to reach the L3 stage and need to be exposed to cold temperatures before coproculture, which can be deleterious for other strongyle species such as </w:t>
      </w:r>
      <w:r w:rsidR="00F12087" w:rsidRPr="00883FC0">
        <w:rPr>
          <w:rFonts w:ascii="Arial" w:hAnsi="Arial" w:cs="Arial"/>
          <w:i/>
          <w:lang w:val="en-GB"/>
        </w:rPr>
        <w:t>H</w:t>
      </w:r>
      <w:r w:rsidR="00317797" w:rsidRPr="00883FC0">
        <w:rPr>
          <w:rFonts w:ascii="Arial" w:hAnsi="Arial" w:cs="Arial"/>
          <w:i/>
          <w:lang w:val="en-GB"/>
        </w:rPr>
        <w:t xml:space="preserve">aemonchus </w:t>
      </w:r>
      <w:r w:rsidR="00F12087" w:rsidRPr="00883FC0">
        <w:rPr>
          <w:rFonts w:ascii="Arial" w:hAnsi="Arial" w:cs="Arial"/>
          <w:i/>
          <w:lang w:val="en-GB"/>
        </w:rPr>
        <w:t>contortus</w:t>
      </w:r>
      <w:r w:rsidR="00F12087" w:rsidRPr="00883FC0">
        <w:rPr>
          <w:rFonts w:ascii="Arial" w:hAnsi="Arial" w:cs="Arial"/>
          <w:lang w:val="en-GB"/>
        </w:rPr>
        <w:fldChar w:fldCharType="begin"/>
      </w:r>
      <w:r w:rsidR="00F02A99" w:rsidRPr="00883FC0">
        <w:rPr>
          <w:rFonts w:ascii="Arial" w:hAnsi="Arial" w:cs="Arial"/>
          <w:lang w:val="en-GB"/>
        </w:rPr>
        <w:instrText xml:space="preserve"> ADDIN ZOTERO_ITEM CSL_CITATION {"citationID":"iGQekN4s","properties":{"formattedCitation":"(van Wyk and Mayhew, 2013)","plainCitation":"(van Wyk and Mayhew, 2013)","dontUpdate":true,"noteIndex":0},"citationItems":[{"id":1366,"uris":["http://zotero.org/users/local/NciqjDvn/items/I5P9ZBLJ"],"itemData":{"id":1366,"type":"article-journal","container-title":"Onderstepoort Journal of Veterinary Research","ISSN":"0030-2465","issue":"1","note":"publisher: AOSIS Publishing","page":"00-00","source":"SciELO","title":"Morphological identification of parasitic nematode infective larvae of small ruminants and cattle: a practical lab guide","title-short":"Morphological identification of parasitic nematode infective larvae of small ruminants and cattle","volume":"80","author":[{"family":"Wyk","given":"Jan A.","non-dropping-particle":"van"},{"family":"Mayhew","given":"Estelle"}],"issued":{"date-parts":[["2013",1]]}}}],"schema":"https://github.com/citation-style-language/schema/raw/master/csl-citation.json"} </w:instrText>
      </w:r>
      <w:r w:rsidR="00F12087" w:rsidRPr="00883FC0">
        <w:rPr>
          <w:rFonts w:ascii="Arial" w:hAnsi="Arial" w:cs="Arial"/>
          <w:lang w:val="en-GB"/>
        </w:rPr>
        <w:fldChar w:fldCharType="separate"/>
      </w:r>
      <w:r w:rsidR="007C0A2B" w:rsidRPr="00883FC0">
        <w:rPr>
          <w:rFonts w:ascii="Arial" w:hAnsi="Arial" w:cs="Arial"/>
          <w:lang w:val="en-US"/>
        </w:rPr>
        <w:t xml:space="preserve">, </w:t>
      </w:r>
      <w:r w:rsidR="00F12087" w:rsidRPr="00883FC0">
        <w:rPr>
          <w:rFonts w:ascii="Arial" w:hAnsi="Arial" w:cs="Arial"/>
          <w:lang w:val="en-US"/>
        </w:rPr>
        <w:t>van Wyk and Mayhew, 2013)</w:t>
      </w:r>
      <w:r w:rsidR="00F12087" w:rsidRPr="00883FC0">
        <w:rPr>
          <w:rFonts w:ascii="Arial" w:hAnsi="Arial" w:cs="Arial"/>
          <w:lang w:val="en-GB"/>
        </w:rPr>
        <w:fldChar w:fldCharType="end"/>
      </w:r>
      <w:r w:rsidR="00F12087" w:rsidRPr="00883FC0">
        <w:rPr>
          <w:rFonts w:ascii="Arial" w:hAnsi="Arial" w:cs="Arial"/>
          <w:lang w:val="en-GB"/>
        </w:rPr>
        <w:t>.</w:t>
      </w:r>
    </w:p>
    <w:p w14:paraId="685CEFFE" w14:textId="4D715B23" w:rsidR="000D0899" w:rsidRPr="00883FC0" w:rsidRDefault="000D0899" w:rsidP="00A0712B">
      <w:pPr>
        <w:pStyle w:val="NormalWeb"/>
        <w:spacing w:before="0" w:beforeAutospacing="0" w:after="0" w:afterAutospacing="0" w:line="360" w:lineRule="auto"/>
        <w:jc w:val="both"/>
        <w:rPr>
          <w:rFonts w:ascii="Arial" w:hAnsi="Arial" w:cs="Arial"/>
          <w:iCs/>
          <w:color w:val="000000"/>
          <w:lang w:val="en-GB"/>
        </w:rPr>
      </w:pPr>
    </w:p>
    <w:p w14:paraId="55F49758" w14:textId="63E5D246" w:rsidR="00685709" w:rsidRPr="00883FC0" w:rsidRDefault="00685709" w:rsidP="00A0712B">
      <w:pPr>
        <w:pStyle w:val="Lgende"/>
        <w:spacing w:after="0" w:line="360" w:lineRule="auto"/>
        <w:jc w:val="both"/>
        <w:rPr>
          <w:rFonts w:ascii="Arial" w:hAnsi="Arial" w:cs="Arial"/>
          <w:b w:val="0"/>
          <w:i/>
          <w:iCs/>
          <w:color w:val="auto"/>
          <w:sz w:val="24"/>
          <w:szCs w:val="24"/>
          <w:lang w:val="en-GB"/>
        </w:rPr>
      </w:pPr>
      <w:bookmarkStart w:id="28" w:name="_Ref128754062"/>
      <w:bookmarkStart w:id="29" w:name="_Toc130062601"/>
      <w:r w:rsidRPr="00883FC0">
        <w:rPr>
          <w:rFonts w:ascii="Arial" w:hAnsi="Arial" w:cs="Arial"/>
          <w:color w:val="auto"/>
          <w:sz w:val="24"/>
          <w:szCs w:val="24"/>
          <w:u w:val="single"/>
          <w:lang w:val="en-GB"/>
        </w:rPr>
        <w:t xml:space="preserve">Table </w:t>
      </w:r>
      <w:r w:rsidRPr="00883FC0">
        <w:rPr>
          <w:rFonts w:ascii="Arial" w:hAnsi="Arial" w:cs="Arial"/>
          <w:color w:val="auto"/>
          <w:sz w:val="24"/>
          <w:szCs w:val="24"/>
          <w:u w:val="single"/>
          <w:lang w:val="en-GB"/>
        </w:rPr>
        <w:fldChar w:fldCharType="begin"/>
      </w:r>
      <w:r w:rsidRPr="00883FC0">
        <w:rPr>
          <w:rFonts w:ascii="Arial" w:hAnsi="Arial" w:cs="Arial"/>
          <w:color w:val="auto"/>
          <w:sz w:val="24"/>
          <w:szCs w:val="24"/>
          <w:u w:val="single"/>
          <w:lang w:val="en-GB"/>
        </w:rPr>
        <w:instrText xml:space="preserve"> SEQ Tableau \* ARABIC </w:instrText>
      </w:r>
      <w:r w:rsidRPr="00883FC0">
        <w:rPr>
          <w:rFonts w:ascii="Arial" w:hAnsi="Arial" w:cs="Arial"/>
          <w:color w:val="auto"/>
          <w:sz w:val="24"/>
          <w:szCs w:val="24"/>
          <w:u w:val="single"/>
          <w:lang w:val="en-GB"/>
        </w:rPr>
        <w:fldChar w:fldCharType="separate"/>
      </w:r>
      <w:r w:rsidR="00870D7F">
        <w:rPr>
          <w:rFonts w:ascii="Arial" w:hAnsi="Arial" w:cs="Arial"/>
          <w:noProof/>
          <w:color w:val="auto"/>
          <w:sz w:val="24"/>
          <w:szCs w:val="24"/>
          <w:u w:val="single"/>
          <w:lang w:val="en-GB"/>
        </w:rPr>
        <w:t>3</w:t>
      </w:r>
      <w:r w:rsidRPr="00883FC0">
        <w:rPr>
          <w:rFonts w:ascii="Arial" w:hAnsi="Arial" w:cs="Arial"/>
          <w:color w:val="auto"/>
          <w:sz w:val="24"/>
          <w:szCs w:val="24"/>
          <w:u w:val="single"/>
          <w:lang w:val="en-GB"/>
        </w:rPr>
        <w:fldChar w:fldCharType="end"/>
      </w:r>
      <w:bookmarkEnd w:id="28"/>
      <w:r w:rsidRPr="00883FC0">
        <w:rPr>
          <w:rFonts w:ascii="Arial" w:hAnsi="Arial" w:cs="Arial"/>
          <w:b w:val="0"/>
          <w:color w:val="auto"/>
          <w:sz w:val="24"/>
          <w:szCs w:val="24"/>
          <w:u w:val="single"/>
          <w:lang w:val="en-GB"/>
        </w:rPr>
        <w:t> </w:t>
      </w:r>
      <w:r w:rsidRPr="00883FC0">
        <w:rPr>
          <w:rFonts w:ascii="Arial" w:hAnsi="Arial" w:cs="Arial"/>
          <w:b w:val="0"/>
          <w:iCs/>
          <w:color w:val="auto"/>
          <w:sz w:val="24"/>
          <w:szCs w:val="24"/>
          <w:u w:val="single"/>
          <w:lang w:val="en-GB"/>
        </w:rPr>
        <w:t>: Number of ASV</w:t>
      </w:r>
      <w:r w:rsidR="008A24DB" w:rsidRPr="00883FC0">
        <w:rPr>
          <w:rFonts w:ascii="Arial" w:hAnsi="Arial" w:cs="Arial"/>
          <w:b w:val="0"/>
          <w:iCs/>
          <w:color w:val="auto"/>
          <w:sz w:val="24"/>
          <w:szCs w:val="24"/>
          <w:u w:val="single"/>
          <w:lang w:val="en-GB"/>
        </w:rPr>
        <w:t>s</w:t>
      </w:r>
      <w:r w:rsidRPr="00883FC0">
        <w:rPr>
          <w:rFonts w:ascii="Arial" w:hAnsi="Arial" w:cs="Arial"/>
          <w:b w:val="0"/>
          <w:iCs/>
          <w:color w:val="auto"/>
          <w:sz w:val="24"/>
          <w:szCs w:val="24"/>
          <w:u w:val="single"/>
          <w:lang w:val="en-GB"/>
        </w:rPr>
        <w:t xml:space="preserve">, reads and samples for each nematode taxon, including the results from the ITS2 (nemabiome) and the </w:t>
      </w:r>
      <w:r w:rsidRPr="00883FC0">
        <w:rPr>
          <w:rFonts w:ascii="Arial" w:hAnsi="Arial" w:cs="Arial"/>
          <w:b w:val="0"/>
          <w:color w:val="auto"/>
          <w:sz w:val="24"/>
          <w:szCs w:val="24"/>
          <w:u w:val="single"/>
          <w:lang w:val="en-GB"/>
        </w:rPr>
        <w:t>β-tubulin</w:t>
      </w:r>
      <w:r w:rsidRPr="00883FC0">
        <w:rPr>
          <w:rFonts w:ascii="Arial" w:hAnsi="Arial" w:cs="Arial"/>
          <w:b w:val="0"/>
          <w:iCs/>
          <w:color w:val="auto"/>
          <w:sz w:val="24"/>
          <w:szCs w:val="24"/>
          <w:u w:val="single"/>
          <w:lang w:val="en-GB"/>
        </w:rPr>
        <w:t xml:space="preserve"> </w:t>
      </w:r>
      <w:r w:rsidRPr="00883FC0">
        <w:rPr>
          <w:rFonts w:ascii="Arial" w:hAnsi="Arial" w:cs="Arial"/>
          <w:b w:val="0"/>
          <w:color w:val="auto"/>
          <w:sz w:val="24"/>
          <w:szCs w:val="24"/>
          <w:u w:val="single"/>
          <w:lang w:val="en-GB"/>
        </w:rPr>
        <w:t>isotype 1 (resistance to benzimidazole</w:t>
      </w:r>
      <w:r w:rsidRPr="00883FC0">
        <w:rPr>
          <w:rFonts w:ascii="Arial" w:hAnsi="Arial" w:cs="Arial"/>
          <w:b w:val="0"/>
          <w:color w:val="auto"/>
          <w:sz w:val="24"/>
          <w:szCs w:val="24"/>
          <w:lang w:val="en-GB"/>
        </w:rPr>
        <w:t xml:space="preserve">). N= number </w:t>
      </w:r>
      <w:r w:rsidR="008A24DB" w:rsidRPr="00883FC0">
        <w:rPr>
          <w:rFonts w:ascii="Arial" w:hAnsi="Arial" w:cs="Arial"/>
          <w:b w:val="0"/>
          <w:color w:val="auto"/>
          <w:sz w:val="24"/>
          <w:szCs w:val="24"/>
          <w:lang w:val="en-GB"/>
        </w:rPr>
        <w:t>(</w:t>
      </w:r>
      <w:r w:rsidRPr="00883FC0">
        <w:rPr>
          <w:rFonts w:ascii="Arial" w:hAnsi="Arial" w:cs="Arial"/>
          <w:b w:val="0"/>
          <w:color w:val="auto"/>
          <w:sz w:val="24"/>
          <w:szCs w:val="24"/>
          <w:lang w:val="en-GB"/>
        </w:rPr>
        <w:t>and percentage</w:t>
      </w:r>
      <w:r w:rsidR="008A24DB" w:rsidRPr="00883FC0">
        <w:rPr>
          <w:rFonts w:ascii="Arial" w:hAnsi="Arial" w:cs="Arial"/>
          <w:b w:val="0"/>
          <w:color w:val="auto"/>
          <w:sz w:val="24"/>
          <w:szCs w:val="24"/>
          <w:lang w:val="en-GB"/>
        </w:rPr>
        <w:t>)</w:t>
      </w:r>
      <w:r w:rsidRPr="00883FC0">
        <w:rPr>
          <w:rFonts w:ascii="Arial" w:hAnsi="Arial" w:cs="Arial"/>
          <w:b w:val="0"/>
          <w:color w:val="auto"/>
          <w:sz w:val="24"/>
          <w:szCs w:val="24"/>
          <w:lang w:val="en-GB"/>
        </w:rPr>
        <w:t xml:space="preserve"> of samples in which </w:t>
      </w:r>
      <w:r w:rsidR="008A24DB" w:rsidRPr="00883FC0">
        <w:rPr>
          <w:rFonts w:ascii="Arial" w:hAnsi="Arial" w:cs="Arial"/>
          <w:b w:val="0"/>
          <w:color w:val="auto"/>
          <w:sz w:val="24"/>
          <w:szCs w:val="24"/>
          <w:lang w:val="en-GB"/>
        </w:rPr>
        <w:t>a</w:t>
      </w:r>
      <w:r w:rsidRPr="00883FC0">
        <w:rPr>
          <w:rFonts w:ascii="Arial" w:hAnsi="Arial" w:cs="Arial"/>
          <w:b w:val="0"/>
          <w:color w:val="auto"/>
          <w:sz w:val="24"/>
          <w:szCs w:val="24"/>
          <w:lang w:val="en-GB"/>
        </w:rPr>
        <w:t xml:space="preserve"> tax</w:t>
      </w:r>
      <w:r w:rsidR="008A24DB" w:rsidRPr="00883FC0">
        <w:rPr>
          <w:rFonts w:ascii="Arial" w:hAnsi="Arial" w:cs="Arial"/>
          <w:b w:val="0"/>
          <w:color w:val="auto"/>
          <w:sz w:val="24"/>
          <w:szCs w:val="24"/>
          <w:lang w:val="en-GB"/>
        </w:rPr>
        <w:t>on</w:t>
      </w:r>
      <w:r w:rsidRPr="00883FC0">
        <w:rPr>
          <w:rFonts w:ascii="Arial" w:hAnsi="Arial" w:cs="Arial"/>
          <w:b w:val="0"/>
          <w:color w:val="auto"/>
          <w:sz w:val="24"/>
          <w:szCs w:val="24"/>
          <w:lang w:val="en-GB"/>
        </w:rPr>
        <w:t xml:space="preserve"> was detected. Host species and study sites are mixed here.</w:t>
      </w:r>
      <w:bookmarkEnd w:id="29"/>
    </w:p>
    <w:tbl>
      <w:tblPr>
        <w:tblStyle w:val="Tableausimple2"/>
        <w:tblW w:w="8979" w:type="dxa"/>
        <w:tblCellMar>
          <w:left w:w="28" w:type="dxa"/>
          <w:right w:w="28" w:type="dxa"/>
        </w:tblCellMar>
        <w:tblLook w:val="04A0" w:firstRow="1" w:lastRow="0" w:firstColumn="1" w:lastColumn="0" w:noHBand="0" w:noVBand="1"/>
      </w:tblPr>
      <w:tblGrid>
        <w:gridCol w:w="2835"/>
        <w:gridCol w:w="851"/>
        <w:gridCol w:w="1134"/>
        <w:gridCol w:w="1134"/>
        <w:gridCol w:w="850"/>
        <w:gridCol w:w="992"/>
        <w:gridCol w:w="1183"/>
      </w:tblGrid>
      <w:tr w:rsidR="006463F4" w:rsidRPr="00883FC0" w14:paraId="5A4BBDE1" w14:textId="77777777" w:rsidTr="00B829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nil"/>
            </w:tcBorders>
          </w:tcPr>
          <w:p w14:paraId="193428D4"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p>
        </w:tc>
        <w:tc>
          <w:tcPr>
            <w:tcW w:w="3119" w:type="dxa"/>
            <w:gridSpan w:val="3"/>
            <w:tcBorders>
              <w:top w:val="single" w:sz="4" w:space="0" w:color="7F7F7F" w:themeColor="text1" w:themeTint="80"/>
              <w:bottom w:val="nil"/>
            </w:tcBorders>
          </w:tcPr>
          <w:p w14:paraId="010F1660" w14:textId="77777777" w:rsidR="006463F4" w:rsidRPr="00883FC0" w:rsidRDefault="006463F4" w:rsidP="00A0712B">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2"/>
                <w:szCs w:val="22"/>
                <w:lang w:val="en-US"/>
              </w:rPr>
            </w:pPr>
            <w:r w:rsidRPr="00883FC0">
              <w:rPr>
                <w:rFonts w:ascii="Arial" w:hAnsi="Arial" w:cs="Arial"/>
                <w:b w:val="0"/>
                <w:iCs/>
                <w:color w:val="000000"/>
                <w:sz w:val="22"/>
                <w:szCs w:val="22"/>
                <w:lang w:val="en-US"/>
              </w:rPr>
              <w:t>ITS2</w:t>
            </w:r>
          </w:p>
        </w:tc>
        <w:tc>
          <w:tcPr>
            <w:tcW w:w="3025" w:type="dxa"/>
            <w:gridSpan w:val="3"/>
            <w:tcBorders>
              <w:top w:val="single" w:sz="4" w:space="0" w:color="7F7F7F" w:themeColor="text1" w:themeTint="80"/>
              <w:bottom w:val="nil"/>
            </w:tcBorders>
          </w:tcPr>
          <w:p w14:paraId="3ADA0DAF" w14:textId="77777777" w:rsidR="006463F4" w:rsidRPr="00883FC0" w:rsidRDefault="006463F4" w:rsidP="00A0712B">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2"/>
                <w:szCs w:val="22"/>
                <w:lang w:val="en-US"/>
              </w:rPr>
            </w:pPr>
            <w:r w:rsidRPr="00883FC0">
              <w:rPr>
                <w:rFonts w:ascii="Arial" w:hAnsi="Arial" w:cs="Arial"/>
                <w:b w:val="0"/>
                <w:sz w:val="22"/>
                <w:szCs w:val="22"/>
                <w:lang w:val="en-US"/>
              </w:rPr>
              <w:t>β-tubulin</w:t>
            </w:r>
            <w:r w:rsidRPr="00883FC0">
              <w:rPr>
                <w:rFonts w:ascii="Arial" w:hAnsi="Arial" w:cs="Arial"/>
                <w:b w:val="0"/>
                <w:iCs/>
                <w:sz w:val="22"/>
                <w:szCs w:val="22"/>
                <w:lang w:val="en-US"/>
              </w:rPr>
              <w:t xml:space="preserve"> </w:t>
            </w:r>
            <w:r w:rsidRPr="00883FC0">
              <w:rPr>
                <w:rFonts w:ascii="Arial" w:hAnsi="Arial" w:cs="Arial"/>
                <w:b w:val="0"/>
                <w:sz w:val="22"/>
                <w:szCs w:val="22"/>
                <w:lang w:val="en-US"/>
              </w:rPr>
              <w:t>isotype 1</w:t>
            </w:r>
          </w:p>
        </w:tc>
      </w:tr>
      <w:tr w:rsidR="006463F4" w:rsidRPr="00883FC0" w14:paraId="6748616F"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il"/>
            </w:tcBorders>
          </w:tcPr>
          <w:p w14:paraId="26C034BC"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p>
        </w:tc>
        <w:tc>
          <w:tcPr>
            <w:tcW w:w="851" w:type="dxa"/>
            <w:tcBorders>
              <w:top w:val="nil"/>
            </w:tcBorders>
          </w:tcPr>
          <w:p w14:paraId="36B3DB87" w14:textId="1145822D"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2"/>
                <w:szCs w:val="22"/>
                <w:lang w:val="en-US"/>
              </w:rPr>
            </w:pPr>
            <w:r w:rsidRPr="00883FC0">
              <w:rPr>
                <w:rFonts w:ascii="Arial" w:hAnsi="Arial" w:cs="Arial"/>
                <w:b/>
                <w:iCs/>
                <w:color w:val="000000"/>
                <w:sz w:val="22"/>
                <w:szCs w:val="22"/>
                <w:lang w:val="en-US"/>
              </w:rPr>
              <w:t>ASV</w:t>
            </w:r>
            <w:r w:rsidR="008A24DB" w:rsidRPr="00883FC0">
              <w:rPr>
                <w:rFonts w:ascii="Arial" w:hAnsi="Arial" w:cs="Arial"/>
                <w:b/>
                <w:iCs/>
                <w:color w:val="000000"/>
                <w:sz w:val="22"/>
                <w:szCs w:val="22"/>
                <w:lang w:val="en-US"/>
              </w:rPr>
              <w:t>s</w:t>
            </w:r>
          </w:p>
        </w:tc>
        <w:tc>
          <w:tcPr>
            <w:tcW w:w="1134" w:type="dxa"/>
            <w:tcBorders>
              <w:top w:val="nil"/>
            </w:tcBorders>
          </w:tcPr>
          <w:p w14:paraId="2CF98B9B"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2"/>
                <w:szCs w:val="22"/>
                <w:lang w:val="en-US"/>
              </w:rPr>
            </w:pPr>
            <w:r w:rsidRPr="00883FC0">
              <w:rPr>
                <w:rFonts w:ascii="Arial" w:hAnsi="Arial" w:cs="Arial"/>
                <w:b/>
                <w:iCs/>
                <w:color w:val="000000"/>
                <w:sz w:val="22"/>
                <w:szCs w:val="22"/>
                <w:lang w:val="en-US"/>
              </w:rPr>
              <w:t xml:space="preserve">Reads </w:t>
            </w:r>
          </w:p>
        </w:tc>
        <w:tc>
          <w:tcPr>
            <w:tcW w:w="1134" w:type="dxa"/>
            <w:tcBorders>
              <w:top w:val="nil"/>
            </w:tcBorders>
          </w:tcPr>
          <w:p w14:paraId="7C6D90AC"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2"/>
                <w:szCs w:val="22"/>
                <w:lang w:val="en-US"/>
              </w:rPr>
            </w:pPr>
            <w:r w:rsidRPr="00883FC0">
              <w:rPr>
                <w:rFonts w:ascii="Arial" w:hAnsi="Arial" w:cs="Arial"/>
                <w:b/>
                <w:iCs/>
                <w:color w:val="000000"/>
                <w:sz w:val="22"/>
                <w:szCs w:val="22"/>
                <w:lang w:val="en-US"/>
              </w:rPr>
              <w:t>N (%)</w:t>
            </w:r>
          </w:p>
        </w:tc>
        <w:tc>
          <w:tcPr>
            <w:tcW w:w="850" w:type="dxa"/>
            <w:tcBorders>
              <w:top w:val="nil"/>
            </w:tcBorders>
          </w:tcPr>
          <w:p w14:paraId="12540EBF" w14:textId="60E0205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2"/>
                <w:szCs w:val="22"/>
                <w:lang w:val="en-US"/>
              </w:rPr>
            </w:pPr>
            <w:r w:rsidRPr="00883FC0">
              <w:rPr>
                <w:rFonts w:ascii="Arial" w:hAnsi="Arial" w:cs="Arial"/>
                <w:b/>
                <w:iCs/>
                <w:color w:val="000000"/>
                <w:sz w:val="22"/>
                <w:szCs w:val="22"/>
                <w:lang w:val="en-US"/>
              </w:rPr>
              <w:t>ASV</w:t>
            </w:r>
            <w:r w:rsidR="008A24DB" w:rsidRPr="00883FC0">
              <w:rPr>
                <w:rFonts w:ascii="Arial" w:hAnsi="Arial" w:cs="Arial"/>
                <w:b/>
                <w:iCs/>
                <w:color w:val="000000"/>
                <w:sz w:val="22"/>
                <w:szCs w:val="22"/>
                <w:lang w:val="en-US"/>
              </w:rPr>
              <w:t>s</w:t>
            </w:r>
            <w:r w:rsidRPr="00883FC0">
              <w:rPr>
                <w:rFonts w:ascii="Arial" w:hAnsi="Arial" w:cs="Arial"/>
                <w:b/>
                <w:iCs/>
                <w:color w:val="000000"/>
                <w:sz w:val="22"/>
                <w:szCs w:val="22"/>
                <w:lang w:val="en-US"/>
              </w:rPr>
              <w:t xml:space="preserve"> </w:t>
            </w:r>
          </w:p>
        </w:tc>
        <w:tc>
          <w:tcPr>
            <w:tcW w:w="992" w:type="dxa"/>
            <w:tcBorders>
              <w:top w:val="nil"/>
            </w:tcBorders>
          </w:tcPr>
          <w:p w14:paraId="3DC67D65"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iCs/>
                <w:color w:val="000000"/>
                <w:sz w:val="22"/>
                <w:szCs w:val="22"/>
                <w:lang w:val="en-US"/>
              </w:rPr>
            </w:pPr>
            <w:r w:rsidRPr="00883FC0">
              <w:rPr>
                <w:rFonts w:ascii="Arial" w:hAnsi="Arial" w:cs="Arial"/>
                <w:b/>
                <w:iCs/>
                <w:color w:val="000000"/>
                <w:sz w:val="22"/>
                <w:szCs w:val="22"/>
                <w:lang w:val="en-US"/>
              </w:rPr>
              <w:t>Reads</w:t>
            </w:r>
          </w:p>
        </w:tc>
        <w:tc>
          <w:tcPr>
            <w:tcW w:w="1183" w:type="dxa"/>
            <w:tcBorders>
              <w:top w:val="nil"/>
            </w:tcBorders>
          </w:tcPr>
          <w:p w14:paraId="02C55487"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2"/>
                <w:szCs w:val="22"/>
                <w:lang w:val="en-US"/>
              </w:rPr>
            </w:pPr>
            <w:r w:rsidRPr="00883FC0">
              <w:rPr>
                <w:rFonts w:ascii="Arial" w:hAnsi="Arial" w:cs="Arial"/>
                <w:b/>
                <w:iCs/>
                <w:color w:val="000000"/>
                <w:sz w:val="22"/>
                <w:szCs w:val="22"/>
                <w:lang w:val="en-US"/>
              </w:rPr>
              <w:t>N (%)</w:t>
            </w:r>
          </w:p>
        </w:tc>
      </w:tr>
      <w:tr w:rsidR="006463F4" w:rsidRPr="00883FC0" w14:paraId="43E43179"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5ECEC77A"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Bunostomum trigonocephalum</w:t>
            </w:r>
          </w:p>
        </w:tc>
        <w:tc>
          <w:tcPr>
            <w:tcW w:w="851" w:type="dxa"/>
          </w:tcPr>
          <w:p w14:paraId="3DC7703B"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8</w:t>
            </w:r>
          </w:p>
        </w:tc>
        <w:tc>
          <w:tcPr>
            <w:tcW w:w="1134" w:type="dxa"/>
          </w:tcPr>
          <w:p w14:paraId="27296A44"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61 631</w:t>
            </w:r>
          </w:p>
        </w:tc>
        <w:tc>
          <w:tcPr>
            <w:tcW w:w="1134" w:type="dxa"/>
          </w:tcPr>
          <w:p w14:paraId="7ADE7C94"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12 (6%)</w:t>
            </w:r>
          </w:p>
        </w:tc>
        <w:tc>
          <w:tcPr>
            <w:tcW w:w="850" w:type="dxa"/>
          </w:tcPr>
          <w:p w14:paraId="445E3DB7"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6E726A5F"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3667B6FF"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67FD2744"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244ACAD2"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Chabertia ovina</w:t>
            </w:r>
          </w:p>
        </w:tc>
        <w:tc>
          <w:tcPr>
            <w:tcW w:w="851" w:type="dxa"/>
          </w:tcPr>
          <w:p w14:paraId="6453A84A"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19</w:t>
            </w:r>
          </w:p>
        </w:tc>
        <w:tc>
          <w:tcPr>
            <w:tcW w:w="1134" w:type="dxa"/>
          </w:tcPr>
          <w:p w14:paraId="786BFC17" w14:textId="3EDC1749"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9</w:t>
            </w:r>
            <w:r w:rsidR="0085598D" w:rsidRPr="00883FC0">
              <w:rPr>
                <w:rFonts w:ascii="Arial" w:hAnsi="Arial" w:cs="Arial"/>
                <w:iCs/>
                <w:color w:val="000000"/>
                <w:sz w:val="22"/>
                <w:szCs w:val="22"/>
                <w:lang w:val="en-US"/>
              </w:rPr>
              <w:t>5</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585</w:t>
            </w:r>
          </w:p>
        </w:tc>
        <w:tc>
          <w:tcPr>
            <w:tcW w:w="1134" w:type="dxa"/>
          </w:tcPr>
          <w:p w14:paraId="61B2FD0F" w14:textId="78B84C4B"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6</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 xml:space="preserve"> (32%)</w:t>
            </w:r>
          </w:p>
        </w:tc>
        <w:tc>
          <w:tcPr>
            <w:tcW w:w="850" w:type="dxa"/>
          </w:tcPr>
          <w:p w14:paraId="2AA30849"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4B819835"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45B9123A"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3B8EF53E"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75D840A1"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Cooperia curticei</w:t>
            </w:r>
          </w:p>
        </w:tc>
        <w:tc>
          <w:tcPr>
            <w:tcW w:w="851" w:type="dxa"/>
          </w:tcPr>
          <w:p w14:paraId="04345408"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4</w:t>
            </w:r>
          </w:p>
        </w:tc>
        <w:tc>
          <w:tcPr>
            <w:tcW w:w="1134" w:type="dxa"/>
          </w:tcPr>
          <w:p w14:paraId="66886DFA"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803</w:t>
            </w:r>
          </w:p>
        </w:tc>
        <w:tc>
          <w:tcPr>
            <w:tcW w:w="1134" w:type="dxa"/>
          </w:tcPr>
          <w:p w14:paraId="1AEFFD11"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6 (3%)</w:t>
            </w:r>
          </w:p>
        </w:tc>
        <w:tc>
          <w:tcPr>
            <w:tcW w:w="850" w:type="dxa"/>
          </w:tcPr>
          <w:p w14:paraId="03CC4893"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4F08E93F"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23E8F86B"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4DE6D9CA"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7663133A"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Cooperia fuelleborni</w:t>
            </w:r>
          </w:p>
        </w:tc>
        <w:tc>
          <w:tcPr>
            <w:tcW w:w="851" w:type="dxa"/>
          </w:tcPr>
          <w:p w14:paraId="51E591C1"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w:t>
            </w:r>
          </w:p>
        </w:tc>
        <w:tc>
          <w:tcPr>
            <w:tcW w:w="1134" w:type="dxa"/>
          </w:tcPr>
          <w:p w14:paraId="6F15725A"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358</w:t>
            </w:r>
          </w:p>
        </w:tc>
        <w:tc>
          <w:tcPr>
            <w:tcW w:w="1134" w:type="dxa"/>
          </w:tcPr>
          <w:p w14:paraId="24D0CD59"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5 (3%)</w:t>
            </w:r>
          </w:p>
        </w:tc>
        <w:tc>
          <w:tcPr>
            <w:tcW w:w="850" w:type="dxa"/>
          </w:tcPr>
          <w:p w14:paraId="7962A379"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5826587C"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521D6CE1"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11413F8D"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2C3E035C"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Haemonchus contortus</w:t>
            </w:r>
          </w:p>
        </w:tc>
        <w:tc>
          <w:tcPr>
            <w:tcW w:w="851" w:type="dxa"/>
          </w:tcPr>
          <w:p w14:paraId="6213A641" w14:textId="4F3D0779" w:rsidR="006463F4" w:rsidRPr="00883FC0" w:rsidRDefault="0085598D"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47</w:t>
            </w:r>
          </w:p>
        </w:tc>
        <w:tc>
          <w:tcPr>
            <w:tcW w:w="1134" w:type="dxa"/>
          </w:tcPr>
          <w:p w14:paraId="26DDF08B" w14:textId="7ADA2C2E"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1 9</w:t>
            </w:r>
            <w:r w:rsidR="0085598D" w:rsidRPr="00883FC0">
              <w:rPr>
                <w:rFonts w:ascii="Arial" w:hAnsi="Arial" w:cs="Arial"/>
                <w:iCs/>
                <w:color w:val="000000"/>
                <w:sz w:val="22"/>
                <w:szCs w:val="22"/>
                <w:lang w:val="en-US"/>
              </w:rPr>
              <w:t>37</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587</w:t>
            </w:r>
          </w:p>
        </w:tc>
        <w:tc>
          <w:tcPr>
            <w:tcW w:w="1134" w:type="dxa"/>
          </w:tcPr>
          <w:p w14:paraId="2B61D1AC" w14:textId="3E56F1E5"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11</w:t>
            </w:r>
            <w:r w:rsidR="0085598D" w:rsidRPr="00883FC0">
              <w:rPr>
                <w:rFonts w:ascii="Arial" w:hAnsi="Arial" w:cs="Arial"/>
                <w:iCs/>
                <w:color w:val="000000"/>
                <w:sz w:val="22"/>
                <w:szCs w:val="22"/>
                <w:lang w:val="en-US"/>
              </w:rPr>
              <w:t>0</w:t>
            </w:r>
            <w:r w:rsidRPr="00883FC0">
              <w:rPr>
                <w:rFonts w:ascii="Arial" w:hAnsi="Arial" w:cs="Arial"/>
                <w:iCs/>
                <w:color w:val="000000"/>
                <w:sz w:val="22"/>
                <w:szCs w:val="22"/>
                <w:lang w:val="en-US"/>
              </w:rPr>
              <w:t xml:space="preserve"> (56%)</w:t>
            </w:r>
          </w:p>
        </w:tc>
        <w:tc>
          <w:tcPr>
            <w:tcW w:w="850" w:type="dxa"/>
          </w:tcPr>
          <w:p w14:paraId="62B590C5" w14:textId="77777777" w:rsidR="006463F4" w:rsidRPr="00883FC0" w:rsidRDefault="006463F4" w:rsidP="00A0712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38</w:t>
            </w:r>
          </w:p>
        </w:tc>
        <w:tc>
          <w:tcPr>
            <w:tcW w:w="992" w:type="dxa"/>
          </w:tcPr>
          <w:p w14:paraId="6A7FB4DF" w14:textId="1A7DD69C" w:rsidR="006463F4" w:rsidRPr="00883FC0" w:rsidRDefault="006463F4" w:rsidP="00A0712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 xml:space="preserve">392 </w:t>
            </w:r>
            <w:r w:rsidR="0085598D" w:rsidRPr="00883FC0">
              <w:rPr>
                <w:rFonts w:ascii="Arial" w:hAnsi="Arial" w:cs="Arial"/>
                <w:iCs/>
                <w:color w:val="000000"/>
                <w:sz w:val="22"/>
                <w:szCs w:val="22"/>
                <w:lang w:val="en-US"/>
              </w:rPr>
              <w:t>110</w:t>
            </w:r>
          </w:p>
        </w:tc>
        <w:tc>
          <w:tcPr>
            <w:tcW w:w="1183" w:type="dxa"/>
          </w:tcPr>
          <w:p w14:paraId="404AD103" w14:textId="60B2942F" w:rsidR="006463F4" w:rsidRPr="00883FC0" w:rsidRDefault="006463F4" w:rsidP="00A0712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9</w:t>
            </w:r>
            <w:r w:rsidR="0085598D" w:rsidRPr="00883FC0">
              <w:rPr>
                <w:rFonts w:ascii="Arial" w:hAnsi="Arial" w:cs="Arial"/>
                <w:iCs/>
                <w:color w:val="000000"/>
                <w:sz w:val="22"/>
                <w:szCs w:val="22"/>
                <w:lang w:val="en-US"/>
              </w:rPr>
              <w:t>6</w:t>
            </w:r>
            <w:r w:rsidRPr="00883FC0">
              <w:rPr>
                <w:rFonts w:ascii="Arial" w:hAnsi="Arial" w:cs="Arial"/>
                <w:iCs/>
                <w:color w:val="000000"/>
                <w:sz w:val="22"/>
                <w:szCs w:val="22"/>
                <w:lang w:val="en-US"/>
              </w:rPr>
              <w:t xml:space="preserve"> (6</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w:t>
            </w:r>
          </w:p>
        </w:tc>
      </w:tr>
      <w:tr w:rsidR="006463F4" w:rsidRPr="00883FC0" w14:paraId="1EB5C0F3"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0F2FC770"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Marshallagia marshalli</w:t>
            </w:r>
          </w:p>
        </w:tc>
        <w:tc>
          <w:tcPr>
            <w:tcW w:w="851" w:type="dxa"/>
          </w:tcPr>
          <w:p w14:paraId="3702C48B"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23</w:t>
            </w:r>
          </w:p>
        </w:tc>
        <w:tc>
          <w:tcPr>
            <w:tcW w:w="1134" w:type="dxa"/>
          </w:tcPr>
          <w:p w14:paraId="003ACC76"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338 064</w:t>
            </w:r>
          </w:p>
        </w:tc>
        <w:tc>
          <w:tcPr>
            <w:tcW w:w="1134" w:type="dxa"/>
          </w:tcPr>
          <w:p w14:paraId="6AC274AD"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57 (29%)</w:t>
            </w:r>
          </w:p>
        </w:tc>
        <w:tc>
          <w:tcPr>
            <w:tcW w:w="850" w:type="dxa"/>
          </w:tcPr>
          <w:p w14:paraId="4102F853"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29FD6A76"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79E9F054"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3E2E398F"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3DB7FCA0" w14:textId="77777777" w:rsidR="006463F4" w:rsidRPr="00883FC0" w:rsidRDefault="006463F4" w:rsidP="00A0712B">
            <w:pPr>
              <w:pStyle w:val="NormalWeb"/>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 xml:space="preserve">Marshallagia </w:t>
            </w:r>
            <w:r w:rsidRPr="00883FC0">
              <w:rPr>
                <w:rFonts w:ascii="Arial" w:hAnsi="Arial" w:cs="Arial"/>
                <w:b w:val="0"/>
                <w:iCs/>
                <w:color w:val="000000"/>
                <w:sz w:val="22"/>
                <w:szCs w:val="22"/>
                <w:lang w:val="en-US"/>
              </w:rPr>
              <w:t>spp.</w:t>
            </w:r>
          </w:p>
        </w:tc>
        <w:tc>
          <w:tcPr>
            <w:tcW w:w="851" w:type="dxa"/>
          </w:tcPr>
          <w:p w14:paraId="56635180"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w:t>
            </w:r>
          </w:p>
        </w:tc>
        <w:tc>
          <w:tcPr>
            <w:tcW w:w="1134" w:type="dxa"/>
          </w:tcPr>
          <w:p w14:paraId="3B3A915D"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404</w:t>
            </w:r>
          </w:p>
        </w:tc>
        <w:tc>
          <w:tcPr>
            <w:tcW w:w="1134" w:type="dxa"/>
          </w:tcPr>
          <w:p w14:paraId="50E76BE9"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 (1%)</w:t>
            </w:r>
          </w:p>
        </w:tc>
        <w:tc>
          <w:tcPr>
            <w:tcW w:w="850" w:type="dxa"/>
          </w:tcPr>
          <w:p w14:paraId="59239C4A"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462FAA22"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2D9EBFBB"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0DAD69D1"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0E62E783"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Oesophagostomum venulosum</w:t>
            </w:r>
          </w:p>
        </w:tc>
        <w:tc>
          <w:tcPr>
            <w:tcW w:w="851" w:type="dxa"/>
          </w:tcPr>
          <w:p w14:paraId="035847CA"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13</w:t>
            </w:r>
          </w:p>
        </w:tc>
        <w:tc>
          <w:tcPr>
            <w:tcW w:w="1134" w:type="dxa"/>
          </w:tcPr>
          <w:p w14:paraId="6CC6B086" w14:textId="614EA67B"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31</w:t>
            </w:r>
            <w:r w:rsidR="0085598D" w:rsidRPr="00883FC0">
              <w:rPr>
                <w:rFonts w:ascii="Arial" w:hAnsi="Arial" w:cs="Arial"/>
                <w:iCs/>
                <w:color w:val="000000"/>
                <w:sz w:val="22"/>
                <w:szCs w:val="22"/>
                <w:lang w:val="en-US"/>
              </w:rPr>
              <w:t>1</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530</w:t>
            </w:r>
          </w:p>
        </w:tc>
        <w:tc>
          <w:tcPr>
            <w:tcW w:w="1134" w:type="dxa"/>
          </w:tcPr>
          <w:p w14:paraId="1D6F01F6" w14:textId="6B5FA5A4"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8</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 xml:space="preserve"> (42%)</w:t>
            </w:r>
          </w:p>
        </w:tc>
        <w:tc>
          <w:tcPr>
            <w:tcW w:w="850" w:type="dxa"/>
          </w:tcPr>
          <w:p w14:paraId="46AB08D1"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2A7E1A96"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42CEAC1B"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2D037FAE"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50C140E1"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Ostertagia leptospicularis</w:t>
            </w:r>
          </w:p>
        </w:tc>
        <w:tc>
          <w:tcPr>
            <w:tcW w:w="851" w:type="dxa"/>
          </w:tcPr>
          <w:p w14:paraId="20E2DC4B"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w:t>
            </w:r>
          </w:p>
        </w:tc>
        <w:tc>
          <w:tcPr>
            <w:tcW w:w="1134" w:type="dxa"/>
          </w:tcPr>
          <w:p w14:paraId="3A29F9F2"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5</w:t>
            </w:r>
          </w:p>
        </w:tc>
        <w:tc>
          <w:tcPr>
            <w:tcW w:w="1134" w:type="dxa"/>
          </w:tcPr>
          <w:p w14:paraId="77668470"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 (1%)</w:t>
            </w:r>
          </w:p>
        </w:tc>
        <w:tc>
          <w:tcPr>
            <w:tcW w:w="850" w:type="dxa"/>
          </w:tcPr>
          <w:p w14:paraId="32F3C07D"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4C2C425E"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58FAEA83"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3F98A772"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7A45F2C0"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Ostertagia ostertagi</w:t>
            </w:r>
          </w:p>
        </w:tc>
        <w:tc>
          <w:tcPr>
            <w:tcW w:w="851" w:type="dxa"/>
          </w:tcPr>
          <w:p w14:paraId="687EA6F5"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w:t>
            </w:r>
          </w:p>
        </w:tc>
        <w:tc>
          <w:tcPr>
            <w:tcW w:w="1134" w:type="dxa"/>
          </w:tcPr>
          <w:p w14:paraId="5DD804E8"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269</w:t>
            </w:r>
          </w:p>
        </w:tc>
        <w:tc>
          <w:tcPr>
            <w:tcW w:w="1134" w:type="dxa"/>
          </w:tcPr>
          <w:p w14:paraId="43411471"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 (1%)</w:t>
            </w:r>
          </w:p>
        </w:tc>
        <w:tc>
          <w:tcPr>
            <w:tcW w:w="850" w:type="dxa"/>
          </w:tcPr>
          <w:p w14:paraId="32BA1CED"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28F47CD3"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4665847E" w14:textId="77777777" w:rsidR="006463F4" w:rsidRPr="00883FC0" w:rsidRDefault="006463F4" w:rsidP="00A0712B">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r w:rsidR="006463F4" w:rsidRPr="00883FC0" w14:paraId="7244D632"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5E5C99CD"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Teladorsagia circumcincta</w:t>
            </w:r>
          </w:p>
        </w:tc>
        <w:tc>
          <w:tcPr>
            <w:tcW w:w="851" w:type="dxa"/>
          </w:tcPr>
          <w:p w14:paraId="21854210" w14:textId="11E8BA45"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23</w:t>
            </w:r>
            <w:r w:rsidR="0085598D" w:rsidRPr="00883FC0">
              <w:rPr>
                <w:rFonts w:ascii="Arial" w:hAnsi="Arial" w:cs="Arial"/>
                <w:iCs/>
                <w:color w:val="000000"/>
                <w:sz w:val="22"/>
                <w:szCs w:val="22"/>
                <w:lang w:val="en-US"/>
              </w:rPr>
              <w:t>5</w:t>
            </w:r>
          </w:p>
        </w:tc>
        <w:tc>
          <w:tcPr>
            <w:tcW w:w="1134" w:type="dxa"/>
          </w:tcPr>
          <w:p w14:paraId="10442B91" w14:textId="69882F9E"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3 3</w:t>
            </w:r>
            <w:r w:rsidR="0085598D" w:rsidRPr="00883FC0">
              <w:rPr>
                <w:rFonts w:ascii="Arial" w:hAnsi="Arial" w:cs="Arial"/>
                <w:iCs/>
                <w:color w:val="000000"/>
                <w:sz w:val="22"/>
                <w:szCs w:val="22"/>
                <w:lang w:val="en-US"/>
              </w:rPr>
              <w:t>11</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094</w:t>
            </w:r>
          </w:p>
        </w:tc>
        <w:tc>
          <w:tcPr>
            <w:tcW w:w="1134" w:type="dxa"/>
          </w:tcPr>
          <w:p w14:paraId="224825A8" w14:textId="5CD692E1"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16</w:t>
            </w:r>
            <w:r w:rsidR="0085598D" w:rsidRPr="00883FC0">
              <w:rPr>
                <w:rFonts w:ascii="Arial" w:hAnsi="Arial" w:cs="Arial"/>
                <w:iCs/>
                <w:color w:val="000000"/>
                <w:sz w:val="22"/>
                <w:szCs w:val="22"/>
                <w:lang w:val="en-US"/>
              </w:rPr>
              <w:t>6</w:t>
            </w:r>
            <w:r w:rsidRPr="00883FC0">
              <w:rPr>
                <w:rFonts w:ascii="Arial" w:hAnsi="Arial" w:cs="Arial"/>
                <w:iCs/>
                <w:color w:val="000000"/>
                <w:sz w:val="22"/>
                <w:szCs w:val="22"/>
                <w:lang w:val="en-US"/>
              </w:rPr>
              <w:t xml:space="preserve"> (85%)</w:t>
            </w:r>
          </w:p>
        </w:tc>
        <w:tc>
          <w:tcPr>
            <w:tcW w:w="850" w:type="dxa"/>
          </w:tcPr>
          <w:p w14:paraId="44D9588D" w14:textId="2434A7A4" w:rsidR="006463F4" w:rsidRPr="00883FC0" w:rsidRDefault="006463F4" w:rsidP="00A0712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31</w:t>
            </w:r>
            <w:r w:rsidR="0085598D" w:rsidRPr="00883FC0">
              <w:rPr>
                <w:rFonts w:ascii="Arial" w:hAnsi="Arial" w:cs="Arial"/>
                <w:iCs/>
                <w:color w:val="000000"/>
                <w:sz w:val="22"/>
                <w:szCs w:val="22"/>
                <w:lang w:val="en-US"/>
              </w:rPr>
              <w:t>0</w:t>
            </w:r>
          </w:p>
        </w:tc>
        <w:tc>
          <w:tcPr>
            <w:tcW w:w="992" w:type="dxa"/>
          </w:tcPr>
          <w:p w14:paraId="6126EDBD" w14:textId="18350139" w:rsidR="006463F4" w:rsidRPr="00883FC0" w:rsidRDefault="006463F4" w:rsidP="00A0712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 xml:space="preserve">343 </w:t>
            </w:r>
            <w:r w:rsidR="0085598D" w:rsidRPr="00883FC0">
              <w:rPr>
                <w:rFonts w:ascii="Arial" w:hAnsi="Arial" w:cs="Arial"/>
                <w:iCs/>
                <w:color w:val="000000"/>
                <w:sz w:val="22"/>
                <w:szCs w:val="22"/>
                <w:lang w:val="en-US"/>
              </w:rPr>
              <w:t>551</w:t>
            </w:r>
          </w:p>
        </w:tc>
        <w:tc>
          <w:tcPr>
            <w:tcW w:w="1183" w:type="dxa"/>
          </w:tcPr>
          <w:p w14:paraId="2D7B67AB" w14:textId="7B6B6AF8" w:rsidR="006463F4" w:rsidRPr="00883FC0" w:rsidRDefault="006463F4" w:rsidP="00A0712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14</w:t>
            </w:r>
            <w:r w:rsidR="0085598D" w:rsidRPr="00883FC0">
              <w:rPr>
                <w:rFonts w:ascii="Arial" w:hAnsi="Arial" w:cs="Arial"/>
                <w:iCs/>
                <w:color w:val="000000"/>
                <w:sz w:val="22"/>
                <w:szCs w:val="22"/>
                <w:lang w:val="en-US"/>
              </w:rPr>
              <w:t>5</w:t>
            </w:r>
            <w:r w:rsidRPr="00883FC0">
              <w:rPr>
                <w:rFonts w:ascii="Arial" w:hAnsi="Arial" w:cs="Arial"/>
                <w:iCs/>
                <w:color w:val="000000"/>
                <w:sz w:val="22"/>
                <w:szCs w:val="22"/>
                <w:lang w:val="en-US"/>
              </w:rPr>
              <w:t xml:space="preserve"> (94%)</w:t>
            </w:r>
          </w:p>
        </w:tc>
      </w:tr>
      <w:tr w:rsidR="006463F4" w:rsidRPr="00883FC0" w14:paraId="0BAC3D1F"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55DA3C84"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lastRenderedPageBreak/>
              <w:t>Trichostrongylus axei</w:t>
            </w:r>
          </w:p>
        </w:tc>
        <w:tc>
          <w:tcPr>
            <w:tcW w:w="851" w:type="dxa"/>
          </w:tcPr>
          <w:p w14:paraId="305073A3"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26</w:t>
            </w:r>
          </w:p>
        </w:tc>
        <w:tc>
          <w:tcPr>
            <w:tcW w:w="1134" w:type="dxa"/>
          </w:tcPr>
          <w:p w14:paraId="19710C55" w14:textId="729A8DA1"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46</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936</w:t>
            </w:r>
          </w:p>
        </w:tc>
        <w:tc>
          <w:tcPr>
            <w:tcW w:w="1134" w:type="dxa"/>
          </w:tcPr>
          <w:p w14:paraId="20F2E3BC" w14:textId="00F43CBE"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10</w:t>
            </w:r>
            <w:r w:rsidR="0085598D" w:rsidRPr="00883FC0">
              <w:rPr>
                <w:rFonts w:ascii="Arial" w:hAnsi="Arial" w:cs="Arial"/>
                <w:iCs/>
                <w:color w:val="000000"/>
                <w:sz w:val="22"/>
                <w:szCs w:val="22"/>
                <w:lang w:val="en-US"/>
              </w:rPr>
              <w:t>3</w:t>
            </w:r>
            <w:r w:rsidRPr="00883FC0">
              <w:rPr>
                <w:rFonts w:ascii="Arial" w:hAnsi="Arial" w:cs="Arial"/>
                <w:iCs/>
                <w:color w:val="000000"/>
                <w:sz w:val="22"/>
                <w:szCs w:val="22"/>
                <w:lang w:val="en-US"/>
              </w:rPr>
              <w:t xml:space="preserve"> (53%)</w:t>
            </w:r>
          </w:p>
        </w:tc>
        <w:tc>
          <w:tcPr>
            <w:tcW w:w="850" w:type="dxa"/>
          </w:tcPr>
          <w:p w14:paraId="21176862"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33</w:t>
            </w:r>
          </w:p>
        </w:tc>
        <w:tc>
          <w:tcPr>
            <w:tcW w:w="992" w:type="dxa"/>
          </w:tcPr>
          <w:p w14:paraId="1A0C3D36" w14:textId="24A03F9C"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 xml:space="preserve">68 </w:t>
            </w:r>
            <w:r w:rsidR="0085598D" w:rsidRPr="00883FC0">
              <w:rPr>
                <w:rFonts w:ascii="Arial" w:hAnsi="Arial" w:cs="Arial"/>
                <w:iCs/>
                <w:color w:val="000000"/>
                <w:sz w:val="22"/>
                <w:szCs w:val="22"/>
                <w:lang w:val="en-US"/>
              </w:rPr>
              <w:t>414</w:t>
            </w:r>
          </w:p>
        </w:tc>
        <w:tc>
          <w:tcPr>
            <w:tcW w:w="1183" w:type="dxa"/>
          </w:tcPr>
          <w:p w14:paraId="629510A4" w14:textId="683747E6"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10</w:t>
            </w:r>
            <w:r w:rsidR="0085598D" w:rsidRPr="00883FC0">
              <w:rPr>
                <w:rFonts w:ascii="Arial" w:hAnsi="Arial" w:cs="Arial"/>
                <w:iCs/>
                <w:color w:val="000000"/>
                <w:sz w:val="22"/>
                <w:szCs w:val="22"/>
                <w:lang w:val="en-US"/>
              </w:rPr>
              <w:t>4</w:t>
            </w:r>
            <w:r w:rsidRPr="00883FC0">
              <w:rPr>
                <w:rFonts w:ascii="Arial" w:hAnsi="Arial" w:cs="Arial"/>
                <w:iCs/>
                <w:color w:val="000000"/>
                <w:sz w:val="22"/>
                <w:szCs w:val="22"/>
                <w:lang w:val="en-US"/>
              </w:rPr>
              <w:t xml:space="preserve"> (68%)</w:t>
            </w:r>
          </w:p>
        </w:tc>
      </w:tr>
      <w:tr w:rsidR="006463F4" w:rsidRPr="00883FC0" w14:paraId="06F1F567"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69B1840F"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Trichostrongylus colubriformis</w:t>
            </w:r>
          </w:p>
        </w:tc>
        <w:tc>
          <w:tcPr>
            <w:tcW w:w="851" w:type="dxa"/>
          </w:tcPr>
          <w:p w14:paraId="5A241D52"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12</w:t>
            </w:r>
          </w:p>
        </w:tc>
        <w:tc>
          <w:tcPr>
            <w:tcW w:w="1134" w:type="dxa"/>
          </w:tcPr>
          <w:p w14:paraId="3685C5E1" w14:textId="70AEA2DA"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41</w:t>
            </w:r>
            <w:r w:rsidR="0085598D" w:rsidRPr="00883FC0">
              <w:rPr>
                <w:rFonts w:ascii="Arial" w:hAnsi="Arial" w:cs="Arial"/>
                <w:iCs/>
                <w:color w:val="000000"/>
                <w:sz w:val="22"/>
                <w:szCs w:val="22"/>
                <w:lang w:val="en-US"/>
              </w:rPr>
              <w:t>1</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776</w:t>
            </w:r>
          </w:p>
        </w:tc>
        <w:tc>
          <w:tcPr>
            <w:tcW w:w="1134" w:type="dxa"/>
          </w:tcPr>
          <w:p w14:paraId="45052294" w14:textId="0BEC2151"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10</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 xml:space="preserve"> (5</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w:t>
            </w:r>
          </w:p>
        </w:tc>
        <w:tc>
          <w:tcPr>
            <w:tcW w:w="850" w:type="dxa"/>
          </w:tcPr>
          <w:p w14:paraId="710C596F"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8</w:t>
            </w:r>
          </w:p>
        </w:tc>
        <w:tc>
          <w:tcPr>
            <w:tcW w:w="992" w:type="dxa"/>
          </w:tcPr>
          <w:p w14:paraId="01CFF715" w14:textId="5DDEF04B"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14</w:t>
            </w:r>
            <w:r w:rsidR="0085598D" w:rsidRPr="00883FC0">
              <w:rPr>
                <w:rFonts w:ascii="Arial" w:hAnsi="Arial" w:cs="Arial"/>
                <w:iCs/>
                <w:color w:val="000000"/>
                <w:sz w:val="22"/>
                <w:szCs w:val="22"/>
                <w:lang w:val="en-US"/>
              </w:rPr>
              <w:t>4</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643</w:t>
            </w:r>
          </w:p>
        </w:tc>
        <w:tc>
          <w:tcPr>
            <w:tcW w:w="1183" w:type="dxa"/>
          </w:tcPr>
          <w:p w14:paraId="22468891" w14:textId="61CB24C8"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11</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 xml:space="preserve"> (73%)</w:t>
            </w:r>
          </w:p>
        </w:tc>
      </w:tr>
      <w:tr w:rsidR="006463F4" w:rsidRPr="00883FC0" w14:paraId="2D053A4A" w14:textId="77777777" w:rsidTr="00B82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Pr>
          <w:p w14:paraId="0B6028EB"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Trichostrongylus vitrinus</w:t>
            </w:r>
          </w:p>
        </w:tc>
        <w:tc>
          <w:tcPr>
            <w:tcW w:w="851" w:type="dxa"/>
          </w:tcPr>
          <w:p w14:paraId="030E7134" w14:textId="74866EBA" w:rsidR="006463F4" w:rsidRPr="00883FC0" w:rsidRDefault="0085598D"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9</w:t>
            </w:r>
          </w:p>
        </w:tc>
        <w:tc>
          <w:tcPr>
            <w:tcW w:w="1134" w:type="dxa"/>
          </w:tcPr>
          <w:p w14:paraId="5C198359" w14:textId="5D63E510"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5</w:t>
            </w:r>
            <w:r w:rsidR="0085598D" w:rsidRPr="00883FC0">
              <w:rPr>
                <w:rFonts w:ascii="Arial" w:hAnsi="Arial" w:cs="Arial"/>
                <w:iCs/>
                <w:color w:val="000000"/>
                <w:sz w:val="22"/>
                <w:szCs w:val="22"/>
                <w:lang w:val="en-US"/>
              </w:rPr>
              <w:t>21 817</w:t>
            </w:r>
          </w:p>
        </w:tc>
        <w:tc>
          <w:tcPr>
            <w:tcW w:w="1134" w:type="dxa"/>
          </w:tcPr>
          <w:p w14:paraId="59D0D4A9" w14:textId="264C5182"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12</w:t>
            </w:r>
            <w:r w:rsidR="0085598D" w:rsidRPr="00883FC0">
              <w:rPr>
                <w:rFonts w:ascii="Arial" w:hAnsi="Arial" w:cs="Arial"/>
                <w:iCs/>
                <w:color w:val="000000"/>
                <w:sz w:val="22"/>
                <w:szCs w:val="22"/>
                <w:lang w:val="en-US"/>
              </w:rPr>
              <w:t>3</w:t>
            </w:r>
            <w:r w:rsidRPr="00883FC0">
              <w:rPr>
                <w:rFonts w:ascii="Arial" w:hAnsi="Arial" w:cs="Arial"/>
                <w:iCs/>
                <w:color w:val="000000"/>
                <w:sz w:val="22"/>
                <w:szCs w:val="22"/>
                <w:lang w:val="en-US"/>
              </w:rPr>
              <w:t xml:space="preserve"> (63%)</w:t>
            </w:r>
          </w:p>
        </w:tc>
        <w:tc>
          <w:tcPr>
            <w:tcW w:w="850" w:type="dxa"/>
          </w:tcPr>
          <w:p w14:paraId="3B7B3462" w14:textId="17EEBCD6"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4</w:t>
            </w:r>
            <w:r w:rsidR="0085598D" w:rsidRPr="00883FC0">
              <w:rPr>
                <w:rFonts w:ascii="Arial" w:hAnsi="Arial" w:cs="Arial"/>
                <w:iCs/>
                <w:color w:val="000000"/>
                <w:sz w:val="22"/>
                <w:szCs w:val="22"/>
                <w:lang w:val="en-US"/>
              </w:rPr>
              <w:t>4</w:t>
            </w:r>
          </w:p>
        </w:tc>
        <w:tc>
          <w:tcPr>
            <w:tcW w:w="992" w:type="dxa"/>
          </w:tcPr>
          <w:p w14:paraId="0095570B" w14:textId="12279662"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9</w:t>
            </w:r>
            <w:r w:rsidR="0085598D" w:rsidRPr="00883FC0">
              <w:rPr>
                <w:rFonts w:ascii="Arial" w:hAnsi="Arial" w:cs="Arial"/>
                <w:iCs/>
                <w:color w:val="000000"/>
                <w:sz w:val="22"/>
                <w:szCs w:val="22"/>
                <w:lang w:val="en-US"/>
              </w:rPr>
              <w:t>2</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834</w:t>
            </w:r>
          </w:p>
        </w:tc>
        <w:tc>
          <w:tcPr>
            <w:tcW w:w="1183" w:type="dxa"/>
          </w:tcPr>
          <w:p w14:paraId="7C38E063" w14:textId="46427351"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10</w:t>
            </w:r>
            <w:r w:rsidR="0085598D" w:rsidRPr="00883FC0">
              <w:rPr>
                <w:rFonts w:ascii="Arial" w:hAnsi="Arial" w:cs="Arial"/>
                <w:iCs/>
                <w:color w:val="000000"/>
                <w:sz w:val="22"/>
                <w:szCs w:val="22"/>
                <w:lang w:val="en-US"/>
              </w:rPr>
              <w:t>7</w:t>
            </w:r>
            <w:r w:rsidRPr="00883FC0">
              <w:rPr>
                <w:rFonts w:ascii="Arial" w:hAnsi="Arial" w:cs="Arial"/>
                <w:iCs/>
                <w:color w:val="000000"/>
                <w:sz w:val="22"/>
                <w:szCs w:val="22"/>
                <w:lang w:val="en-US"/>
              </w:rPr>
              <w:t xml:space="preserve"> (</w:t>
            </w:r>
            <w:r w:rsidR="0085598D" w:rsidRPr="00883FC0">
              <w:rPr>
                <w:rFonts w:ascii="Arial" w:hAnsi="Arial" w:cs="Arial"/>
                <w:iCs/>
                <w:color w:val="000000"/>
                <w:sz w:val="22"/>
                <w:szCs w:val="22"/>
                <w:lang w:val="en-US"/>
              </w:rPr>
              <w:t>69</w:t>
            </w:r>
            <w:r w:rsidRPr="00883FC0">
              <w:rPr>
                <w:rFonts w:ascii="Arial" w:hAnsi="Arial" w:cs="Arial"/>
                <w:iCs/>
                <w:color w:val="000000"/>
                <w:sz w:val="22"/>
                <w:szCs w:val="22"/>
                <w:lang w:val="en-US"/>
              </w:rPr>
              <w:t>%)</w:t>
            </w:r>
          </w:p>
        </w:tc>
      </w:tr>
      <w:tr w:rsidR="006463F4" w:rsidRPr="00883FC0" w14:paraId="1B49AA14" w14:textId="77777777" w:rsidTr="00B82943">
        <w:trPr>
          <w:trHeight w:val="20"/>
        </w:trPr>
        <w:tc>
          <w:tcPr>
            <w:cnfStyle w:val="001000000000" w:firstRow="0" w:lastRow="0" w:firstColumn="1" w:lastColumn="0" w:oddVBand="0" w:evenVBand="0" w:oddHBand="0" w:evenHBand="0" w:firstRowFirstColumn="0" w:firstRowLastColumn="0" w:lastRowFirstColumn="0" w:lastRowLastColumn="0"/>
            <w:tcW w:w="2835" w:type="dxa"/>
          </w:tcPr>
          <w:p w14:paraId="3C9A05B8" w14:textId="77777777" w:rsidR="006463F4" w:rsidRPr="00883FC0" w:rsidRDefault="006463F4" w:rsidP="00A0712B">
            <w:pPr>
              <w:pStyle w:val="NormalWeb"/>
              <w:tabs>
                <w:tab w:val="left" w:pos="2130"/>
              </w:tabs>
              <w:spacing w:before="0" w:beforeAutospacing="0" w:after="0" w:afterAutospacing="0" w:line="360" w:lineRule="auto"/>
              <w:jc w:val="both"/>
              <w:rPr>
                <w:rFonts w:ascii="Arial" w:hAnsi="Arial" w:cs="Arial"/>
                <w:b w:val="0"/>
                <w:i/>
                <w:iCs/>
                <w:color w:val="000000"/>
                <w:sz w:val="22"/>
                <w:szCs w:val="22"/>
                <w:lang w:val="en-US"/>
              </w:rPr>
            </w:pPr>
            <w:r w:rsidRPr="00883FC0">
              <w:rPr>
                <w:rFonts w:ascii="Arial" w:hAnsi="Arial" w:cs="Arial"/>
                <w:b w:val="0"/>
                <w:i/>
                <w:iCs/>
                <w:color w:val="000000"/>
                <w:sz w:val="22"/>
                <w:szCs w:val="22"/>
                <w:lang w:val="en-US"/>
              </w:rPr>
              <w:t xml:space="preserve">Trichostrongylus </w:t>
            </w:r>
            <w:r w:rsidRPr="00883FC0">
              <w:rPr>
                <w:rFonts w:ascii="Arial" w:hAnsi="Arial" w:cs="Arial"/>
                <w:b w:val="0"/>
                <w:iCs/>
                <w:color w:val="000000"/>
                <w:sz w:val="22"/>
                <w:szCs w:val="22"/>
                <w:lang w:val="en-US"/>
              </w:rPr>
              <w:t>spp.</w:t>
            </w:r>
          </w:p>
        </w:tc>
        <w:tc>
          <w:tcPr>
            <w:tcW w:w="851" w:type="dxa"/>
          </w:tcPr>
          <w:p w14:paraId="7BDA3FB4"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5</w:t>
            </w:r>
          </w:p>
        </w:tc>
        <w:tc>
          <w:tcPr>
            <w:tcW w:w="1134" w:type="dxa"/>
          </w:tcPr>
          <w:p w14:paraId="7ECAD0C0" w14:textId="0223DBD4"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 xml:space="preserve">71 </w:t>
            </w:r>
            <w:r w:rsidR="0085598D" w:rsidRPr="00883FC0">
              <w:rPr>
                <w:rFonts w:ascii="Arial" w:hAnsi="Arial" w:cs="Arial"/>
                <w:iCs/>
                <w:color w:val="000000"/>
                <w:sz w:val="22"/>
                <w:szCs w:val="22"/>
                <w:lang w:val="en-US"/>
              </w:rPr>
              <w:t>124</w:t>
            </w:r>
          </w:p>
        </w:tc>
        <w:tc>
          <w:tcPr>
            <w:tcW w:w="1134" w:type="dxa"/>
          </w:tcPr>
          <w:p w14:paraId="45B75966" w14:textId="1F0748CC"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7</w:t>
            </w:r>
            <w:r w:rsidR="0085598D" w:rsidRPr="00883FC0">
              <w:rPr>
                <w:rFonts w:ascii="Arial" w:hAnsi="Arial" w:cs="Arial"/>
                <w:iCs/>
                <w:color w:val="000000"/>
                <w:sz w:val="22"/>
                <w:szCs w:val="22"/>
                <w:lang w:val="en-US"/>
              </w:rPr>
              <w:t>0</w:t>
            </w:r>
            <w:r w:rsidRPr="00883FC0">
              <w:rPr>
                <w:rFonts w:ascii="Arial" w:hAnsi="Arial" w:cs="Arial"/>
                <w:iCs/>
                <w:color w:val="000000"/>
                <w:sz w:val="22"/>
                <w:szCs w:val="22"/>
                <w:lang w:val="en-US"/>
              </w:rPr>
              <w:t xml:space="preserve"> (36%)</w:t>
            </w:r>
          </w:p>
        </w:tc>
        <w:tc>
          <w:tcPr>
            <w:tcW w:w="850" w:type="dxa"/>
          </w:tcPr>
          <w:p w14:paraId="25ED7D71"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992" w:type="dxa"/>
          </w:tcPr>
          <w:p w14:paraId="22F2144C"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c>
          <w:tcPr>
            <w:tcW w:w="1183" w:type="dxa"/>
          </w:tcPr>
          <w:p w14:paraId="3C015C96" w14:textId="77777777" w:rsidR="006463F4" w:rsidRPr="00883FC0" w:rsidRDefault="006463F4" w:rsidP="00A0712B">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2"/>
                <w:szCs w:val="22"/>
                <w:lang w:val="en-US"/>
              </w:rPr>
            </w:pPr>
            <w:r w:rsidRPr="00883FC0">
              <w:rPr>
                <w:rFonts w:ascii="Arial" w:hAnsi="Arial" w:cs="Arial"/>
                <w:iCs/>
                <w:color w:val="000000"/>
                <w:sz w:val="22"/>
                <w:szCs w:val="22"/>
                <w:lang w:val="en-US"/>
              </w:rPr>
              <w:t>-</w:t>
            </w:r>
          </w:p>
        </w:tc>
      </w:tr>
    </w:tbl>
    <w:p w14:paraId="740E94F5"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lang w:val="en-US"/>
        </w:rPr>
      </w:pPr>
    </w:p>
    <w:p w14:paraId="7187CFB2" w14:textId="09B96ED5" w:rsidR="00685709" w:rsidRPr="00883FC0" w:rsidRDefault="00685709" w:rsidP="00A0712B">
      <w:pPr>
        <w:pStyle w:val="NormalWeb"/>
        <w:spacing w:before="0" w:beforeAutospacing="0" w:after="0" w:afterAutospacing="0" w:line="360" w:lineRule="auto"/>
        <w:ind w:firstLine="708"/>
        <w:jc w:val="both"/>
        <w:rPr>
          <w:rFonts w:ascii="Arial" w:hAnsi="Arial" w:cs="Arial"/>
          <w:iCs/>
          <w:lang w:val="en-GB"/>
        </w:rPr>
      </w:pPr>
      <w:r w:rsidRPr="00883FC0">
        <w:rPr>
          <w:rFonts w:ascii="Arial" w:hAnsi="Arial" w:cs="Arial"/>
          <w:iCs/>
          <w:color w:val="000000"/>
          <w:lang w:val="en-GB"/>
        </w:rPr>
        <w:t xml:space="preserve">According to the </w:t>
      </w:r>
      <w:r w:rsidRPr="00883FC0">
        <w:rPr>
          <w:rFonts w:ascii="Arial" w:hAnsi="Arial" w:cs="Arial"/>
          <w:iCs/>
          <w:lang w:val="en-GB"/>
        </w:rPr>
        <w:t>model selection approach, host species was the only factor that explained the alpha diversity (</w:t>
      </w:r>
      <w:r w:rsidR="009B1CAD" w:rsidRPr="00883FC0">
        <w:rPr>
          <w:rFonts w:ascii="Arial" w:hAnsi="Arial" w:cs="Arial"/>
          <w:iCs/>
          <w:lang w:val="en-GB"/>
        </w:rPr>
        <w:t>Table S1</w:t>
      </w:r>
      <w:r w:rsidRPr="00883FC0">
        <w:rPr>
          <w:rFonts w:ascii="Arial" w:hAnsi="Arial" w:cs="Arial"/>
          <w:iCs/>
          <w:lang w:val="en-GB"/>
        </w:rPr>
        <w:t>). The model indicate</w:t>
      </w:r>
      <w:r w:rsidR="008A24DB" w:rsidRPr="00883FC0">
        <w:rPr>
          <w:rFonts w:ascii="Arial" w:hAnsi="Arial" w:cs="Arial"/>
          <w:iCs/>
          <w:lang w:val="en-GB"/>
        </w:rPr>
        <w:t>d</w:t>
      </w:r>
      <w:r w:rsidRPr="00883FC0">
        <w:rPr>
          <w:rFonts w:ascii="Arial" w:hAnsi="Arial" w:cs="Arial"/>
          <w:iCs/>
          <w:lang w:val="en-GB"/>
        </w:rPr>
        <w:t xml:space="preserve"> that sheep had a lower alpha diversity compared to ibex (β = -0.4</w:t>
      </w:r>
      <w:r w:rsidR="003E1B21" w:rsidRPr="00883FC0">
        <w:rPr>
          <w:rFonts w:ascii="Arial" w:hAnsi="Arial" w:cs="Arial"/>
          <w:iCs/>
          <w:lang w:val="en-GB"/>
        </w:rPr>
        <w:t>2</w:t>
      </w:r>
      <w:r w:rsidRPr="00883FC0">
        <w:rPr>
          <w:rFonts w:ascii="Arial" w:hAnsi="Arial" w:cs="Arial"/>
          <w:iCs/>
          <w:lang w:val="en-GB"/>
        </w:rPr>
        <w:t xml:space="preserve"> ± 0.07, </w:t>
      </w:r>
      <w:r w:rsidRPr="00883FC0">
        <w:rPr>
          <w:rFonts w:ascii="Arial" w:hAnsi="Arial" w:cs="Arial"/>
          <w:i/>
          <w:iCs/>
          <w:lang w:val="en-GB"/>
        </w:rPr>
        <w:t>P</w:t>
      </w:r>
      <w:r w:rsidRPr="00883FC0">
        <w:rPr>
          <w:rFonts w:ascii="Arial" w:hAnsi="Arial" w:cs="Arial"/>
          <w:iCs/>
          <w:lang w:val="en-GB"/>
        </w:rPr>
        <w:t xml:space="preserve"> &lt; 0.001, R² of the model=0.15) (</w:t>
      </w:r>
      <w:r w:rsidR="00577DBD" w:rsidRPr="00883FC0">
        <w:rPr>
          <w:rFonts w:ascii="Arial" w:hAnsi="Arial" w:cs="Arial"/>
          <w:iCs/>
          <w:lang w:val="en-GB"/>
        </w:rPr>
        <w:t>Figure 2</w:t>
      </w:r>
      <w:r w:rsidRPr="00883FC0">
        <w:rPr>
          <w:rFonts w:ascii="Arial" w:hAnsi="Arial" w:cs="Arial"/>
          <w:iCs/>
          <w:lang w:val="en-GB"/>
        </w:rPr>
        <w:t xml:space="preserve">b). </w:t>
      </w:r>
      <w:r w:rsidR="008A24DB" w:rsidRPr="00883FC0">
        <w:rPr>
          <w:rFonts w:ascii="Arial" w:hAnsi="Arial" w:cs="Arial"/>
          <w:iCs/>
          <w:lang w:val="en-GB"/>
        </w:rPr>
        <w:t>S</w:t>
      </w:r>
      <w:r w:rsidRPr="00883FC0">
        <w:rPr>
          <w:rFonts w:ascii="Arial" w:hAnsi="Arial" w:cs="Arial"/>
          <w:iCs/>
          <w:lang w:val="en-GB"/>
        </w:rPr>
        <w:t>ite</w:t>
      </w:r>
      <w:r w:rsidR="00F542BB">
        <w:rPr>
          <w:rFonts w:ascii="Arial" w:hAnsi="Arial" w:cs="Arial"/>
          <w:iCs/>
          <w:lang w:val="en-GB"/>
        </w:rPr>
        <w:t xml:space="preserve">, </w:t>
      </w:r>
      <w:r w:rsidR="00F542BB" w:rsidRPr="00F542BB">
        <w:rPr>
          <w:rFonts w:ascii="Arial" w:hAnsi="Arial" w:cs="Arial"/>
          <w:iCs/>
          <w:highlight w:val="yellow"/>
          <w:lang w:val="en-GB"/>
        </w:rPr>
        <w:t>and its interaction with host species</w:t>
      </w:r>
      <w:r w:rsidRPr="00F542BB">
        <w:rPr>
          <w:rFonts w:ascii="Arial" w:hAnsi="Arial" w:cs="Arial"/>
          <w:iCs/>
          <w:highlight w:val="yellow"/>
          <w:lang w:val="en-GB"/>
        </w:rPr>
        <w:t xml:space="preserve"> w</w:t>
      </w:r>
      <w:r w:rsidR="00F542BB" w:rsidRPr="00F542BB">
        <w:rPr>
          <w:rFonts w:ascii="Arial" w:hAnsi="Arial" w:cs="Arial"/>
          <w:iCs/>
          <w:highlight w:val="yellow"/>
          <w:lang w:val="en-GB"/>
        </w:rPr>
        <w:t>ere</w:t>
      </w:r>
      <w:r w:rsidRPr="00883FC0">
        <w:rPr>
          <w:rFonts w:ascii="Arial" w:hAnsi="Arial" w:cs="Arial"/>
          <w:iCs/>
          <w:lang w:val="en-GB"/>
        </w:rPr>
        <w:t xml:space="preserve"> not retained in the</w:t>
      </w:r>
      <w:r w:rsidR="008A24DB" w:rsidRPr="00883FC0">
        <w:rPr>
          <w:rFonts w:ascii="Arial" w:hAnsi="Arial" w:cs="Arial"/>
          <w:iCs/>
          <w:lang w:val="en-GB"/>
        </w:rPr>
        <w:t xml:space="preserve"> selected</w:t>
      </w:r>
      <w:r w:rsidRPr="00883FC0">
        <w:rPr>
          <w:rFonts w:ascii="Arial" w:hAnsi="Arial" w:cs="Arial"/>
          <w:iCs/>
          <w:lang w:val="en-GB"/>
        </w:rPr>
        <w:t xml:space="preserve"> </w:t>
      </w:r>
      <w:r w:rsidR="008A24DB" w:rsidRPr="00883FC0">
        <w:rPr>
          <w:rFonts w:ascii="Arial" w:hAnsi="Arial" w:cs="Arial"/>
          <w:iCs/>
          <w:lang w:val="en-GB"/>
        </w:rPr>
        <w:t xml:space="preserve">model </w:t>
      </w:r>
      <w:r w:rsidRPr="00883FC0">
        <w:rPr>
          <w:rFonts w:ascii="Arial" w:hAnsi="Arial" w:cs="Arial"/>
          <w:iCs/>
          <w:lang w:val="en-GB"/>
        </w:rPr>
        <w:t>(</w:t>
      </w:r>
      <w:r w:rsidR="009B1CAD" w:rsidRPr="00883FC0">
        <w:rPr>
          <w:rFonts w:ascii="Arial" w:hAnsi="Arial" w:cs="Arial"/>
          <w:iCs/>
          <w:lang w:val="en-GB"/>
        </w:rPr>
        <w:t>Table S1</w:t>
      </w:r>
      <w:r w:rsidRPr="00883FC0">
        <w:rPr>
          <w:rFonts w:ascii="Arial" w:hAnsi="Arial" w:cs="Arial"/>
          <w:iCs/>
          <w:lang w:val="en-GB"/>
        </w:rPr>
        <w:t xml:space="preserve">). </w:t>
      </w:r>
    </w:p>
    <w:p w14:paraId="0237E45E" w14:textId="0E847B12" w:rsidR="00685709" w:rsidRPr="00883FC0" w:rsidRDefault="00685709" w:rsidP="00A0712B">
      <w:pPr>
        <w:pStyle w:val="NormalWeb"/>
        <w:spacing w:before="0" w:beforeAutospacing="0" w:after="0" w:afterAutospacing="0" w:line="360" w:lineRule="auto"/>
        <w:ind w:firstLine="708"/>
        <w:jc w:val="both"/>
        <w:rPr>
          <w:rFonts w:ascii="Arial" w:hAnsi="Arial" w:cs="Arial"/>
          <w:iCs/>
          <w:color w:val="000000"/>
          <w:lang w:val="en-GB"/>
        </w:rPr>
      </w:pPr>
      <w:r w:rsidRPr="00883FC0">
        <w:rPr>
          <w:rFonts w:ascii="Arial" w:hAnsi="Arial" w:cs="Arial"/>
          <w:iCs/>
          <w:lang w:val="en-GB"/>
        </w:rPr>
        <w:t xml:space="preserve">Beta diversity </w:t>
      </w:r>
      <w:r w:rsidR="008A24DB" w:rsidRPr="00883FC0">
        <w:rPr>
          <w:rFonts w:ascii="Arial" w:hAnsi="Arial" w:cs="Arial"/>
          <w:iCs/>
          <w:lang w:val="en-GB"/>
        </w:rPr>
        <w:t>was</w:t>
      </w:r>
      <w:r w:rsidRPr="00883FC0">
        <w:rPr>
          <w:rFonts w:ascii="Arial" w:hAnsi="Arial" w:cs="Arial"/>
          <w:iCs/>
          <w:lang w:val="en-GB"/>
        </w:rPr>
        <w:t xml:space="preserve"> best explained by both factors, host species (F</w:t>
      </w:r>
      <w:r w:rsidRPr="00883FC0">
        <w:rPr>
          <w:rFonts w:ascii="Arial" w:hAnsi="Arial" w:cs="Arial"/>
          <w:iCs/>
          <w:vertAlign w:val="subscript"/>
          <w:lang w:val="en-GB"/>
        </w:rPr>
        <w:t>1,1</w:t>
      </w:r>
      <w:r w:rsidR="00DC14D8" w:rsidRPr="00883FC0">
        <w:rPr>
          <w:rFonts w:ascii="Arial" w:hAnsi="Arial" w:cs="Arial"/>
          <w:iCs/>
          <w:vertAlign w:val="subscript"/>
          <w:lang w:val="en-GB"/>
        </w:rPr>
        <w:t>88</w:t>
      </w:r>
      <w:r w:rsidRPr="00883FC0">
        <w:rPr>
          <w:rFonts w:ascii="Arial" w:hAnsi="Arial" w:cs="Arial"/>
          <w:iCs/>
          <w:lang w:val="en-GB"/>
        </w:rPr>
        <w:t xml:space="preserve"> = </w:t>
      </w:r>
      <w:r w:rsidR="003E1B21" w:rsidRPr="00883FC0">
        <w:rPr>
          <w:rFonts w:ascii="Arial" w:hAnsi="Arial" w:cs="Arial"/>
          <w:iCs/>
          <w:lang w:val="en-GB"/>
        </w:rPr>
        <w:t>27.69</w:t>
      </w:r>
      <w:r w:rsidRPr="00883FC0">
        <w:rPr>
          <w:rFonts w:ascii="Arial" w:hAnsi="Arial" w:cs="Arial"/>
          <w:iCs/>
          <w:lang w:val="en-GB"/>
        </w:rPr>
        <w:t xml:space="preserve">, </w:t>
      </w:r>
      <w:r w:rsidRPr="00883FC0">
        <w:rPr>
          <w:rFonts w:ascii="Arial" w:hAnsi="Arial" w:cs="Arial"/>
          <w:i/>
          <w:iCs/>
          <w:lang w:val="en-GB"/>
        </w:rPr>
        <w:t>P</w:t>
      </w:r>
      <w:r w:rsidRPr="00883FC0">
        <w:rPr>
          <w:rFonts w:ascii="Arial" w:hAnsi="Arial" w:cs="Arial"/>
          <w:iCs/>
          <w:lang w:val="en-GB"/>
        </w:rPr>
        <w:t xml:space="preserve"> = 0.001) and site </w:t>
      </w:r>
      <w:bookmarkStart w:id="30" w:name="_Hlk160117024"/>
      <w:r w:rsidRPr="00883FC0">
        <w:rPr>
          <w:rFonts w:ascii="Arial" w:hAnsi="Arial" w:cs="Arial"/>
          <w:iCs/>
          <w:lang w:val="en-GB"/>
        </w:rPr>
        <w:t>(F</w:t>
      </w:r>
      <w:r w:rsidRPr="00883FC0">
        <w:rPr>
          <w:rFonts w:ascii="Arial" w:hAnsi="Arial" w:cs="Arial"/>
          <w:iCs/>
          <w:vertAlign w:val="subscript"/>
          <w:lang w:val="en-GB"/>
        </w:rPr>
        <w:t>3,1</w:t>
      </w:r>
      <w:r w:rsidR="003E1B21" w:rsidRPr="00883FC0">
        <w:rPr>
          <w:rFonts w:ascii="Arial" w:hAnsi="Arial" w:cs="Arial"/>
          <w:iCs/>
          <w:vertAlign w:val="subscript"/>
          <w:lang w:val="en-GB"/>
        </w:rPr>
        <w:t>88</w:t>
      </w:r>
      <w:r w:rsidRPr="00883FC0">
        <w:rPr>
          <w:rFonts w:ascii="Arial" w:hAnsi="Arial" w:cs="Arial"/>
          <w:iCs/>
          <w:lang w:val="en-GB"/>
        </w:rPr>
        <w:t xml:space="preserve"> = 16.</w:t>
      </w:r>
      <w:r w:rsidR="003E1B21" w:rsidRPr="00883FC0">
        <w:rPr>
          <w:rFonts w:ascii="Arial" w:hAnsi="Arial" w:cs="Arial"/>
          <w:iCs/>
          <w:lang w:val="en-GB"/>
        </w:rPr>
        <w:t>39</w:t>
      </w:r>
      <w:r w:rsidRPr="00883FC0">
        <w:rPr>
          <w:rFonts w:ascii="Arial" w:hAnsi="Arial" w:cs="Arial"/>
          <w:iCs/>
          <w:lang w:val="en-GB"/>
        </w:rPr>
        <w:t xml:space="preserve">, </w:t>
      </w:r>
      <w:r w:rsidRPr="00883FC0">
        <w:rPr>
          <w:rFonts w:ascii="Arial" w:hAnsi="Arial" w:cs="Arial"/>
          <w:i/>
          <w:iCs/>
          <w:lang w:val="en-GB"/>
        </w:rPr>
        <w:t>P</w:t>
      </w:r>
      <w:r w:rsidRPr="00883FC0">
        <w:rPr>
          <w:rFonts w:ascii="Arial" w:hAnsi="Arial" w:cs="Arial"/>
          <w:iCs/>
          <w:lang w:val="en-GB"/>
        </w:rPr>
        <w:t xml:space="preserve"> = 0.001)</w:t>
      </w:r>
      <w:bookmarkEnd w:id="30"/>
      <w:r w:rsidR="00F542BB" w:rsidRPr="00F542BB">
        <w:rPr>
          <w:rFonts w:ascii="Arial" w:hAnsi="Arial" w:cs="Arial"/>
          <w:iCs/>
          <w:highlight w:val="yellow"/>
          <w:lang w:val="en-GB"/>
        </w:rPr>
        <w:t>,</w:t>
      </w:r>
      <w:r w:rsidRPr="00883FC0">
        <w:rPr>
          <w:rFonts w:ascii="Arial" w:hAnsi="Arial" w:cs="Arial"/>
          <w:iCs/>
          <w:lang w:val="en-GB"/>
        </w:rPr>
        <w:t xml:space="preserve"> and their interaction (F</w:t>
      </w:r>
      <w:r w:rsidRPr="00883FC0">
        <w:rPr>
          <w:rFonts w:ascii="Arial" w:hAnsi="Arial" w:cs="Arial"/>
          <w:iCs/>
          <w:vertAlign w:val="subscript"/>
          <w:lang w:val="en-GB"/>
        </w:rPr>
        <w:t>3,1</w:t>
      </w:r>
      <w:r w:rsidR="003E1B21" w:rsidRPr="00883FC0">
        <w:rPr>
          <w:rFonts w:ascii="Arial" w:hAnsi="Arial" w:cs="Arial"/>
          <w:iCs/>
          <w:vertAlign w:val="subscript"/>
          <w:lang w:val="en-GB"/>
        </w:rPr>
        <w:t>88</w:t>
      </w:r>
      <w:r w:rsidRPr="00883FC0">
        <w:rPr>
          <w:rFonts w:ascii="Arial" w:hAnsi="Arial" w:cs="Arial"/>
          <w:iCs/>
          <w:lang w:val="en-GB"/>
        </w:rPr>
        <w:t xml:space="preserve"> = 2</w:t>
      </w:r>
      <w:r w:rsidR="003E1B21" w:rsidRPr="00883FC0">
        <w:rPr>
          <w:rFonts w:ascii="Arial" w:hAnsi="Arial" w:cs="Arial"/>
          <w:iCs/>
          <w:lang w:val="en-GB"/>
        </w:rPr>
        <w:t>5</w:t>
      </w:r>
      <w:r w:rsidRPr="00883FC0">
        <w:rPr>
          <w:rFonts w:ascii="Arial" w:hAnsi="Arial" w:cs="Arial"/>
          <w:iCs/>
          <w:lang w:val="en-GB"/>
        </w:rPr>
        <w:t>.</w:t>
      </w:r>
      <w:r w:rsidR="003E1B21" w:rsidRPr="00883FC0">
        <w:rPr>
          <w:rFonts w:ascii="Arial" w:hAnsi="Arial" w:cs="Arial"/>
          <w:iCs/>
          <w:lang w:val="en-GB"/>
        </w:rPr>
        <w:t>61</w:t>
      </w:r>
      <w:r w:rsidRPr="00883FC0">
        <w:rPr>
          <w:rFonts w:ascii="Arial" w:hAnsi="Arial" w:cs="Arial"/>
          <w:iCs/>
          <w:lang w:val="en-GB"/>
        </w:rPr>
        <w:t xml:space="preserve">, </w:t>
      </w:r>
      <w:r w:rsidRPr="00883FC0">
        <w:rPr>
          <w:rFonts w:ascii="Arial" w:hAnsi="Arial" w:cs="Arial"/>
          <w:i/>
          <w:iCs/>
          <w:lang w:val="en-GB"/>
        </w:rPr>
        <w:t xml:space="preserve">P </w:t>
      </w:r>
      <w:r w:rsidRPr="00883FC0">
        <w:rPr>
          <w:rFonts w:ascii="Arial" w:hAnsi="Arial" w:cs="Arial"/>
          <w:iCs/>
          <w:lang w:val="en-GB"/>
        </w:rPr>
        <w:t>= 0.001) according to</w:t>
      </w:r>
      <w:r w:rsidR="008A24DB" w:rsidRPr="00883FC0">
        <w:rPr>
          <w:rFonts w:ascii="Arial" w:hAnsi="Arial" w:cs="Arial"/>
          <w:iCs/>
          <w:lang w:val="en-GB"/>
        </w:rPr>
        <w:t xml:space="preserve"> </w:t>
      </w:r>
      <w:r w:rsidRPr="00883FC0">
        <w:rPr>
          <w:rFonts w:ascii="Arial" w:hAnsi="Arial" w:cs="Arial"/>
          <w:iCs/>
          <w:lang w:val="en-GB"/>
        </w:rPr>
        <w:t xml:space="preserve">model selection </w:t>
      </w:r>
      <w:r w:rsidR="008A24DB" w:rsidRPr="00883FC0">
        <w:rPr>
          <w:rFonts w:ascii="Arial" w:hAnsi="Arial" w:cs="Arial"/>
          <w:iCs/>
          <w:lang w:val="en-GB"/>
        </w:rPr>
        <w:t xml:space="preserve">results </w:t>
      </w:r>
      <w:r w:rsidRPr="00883FC0">
        <w:rPr>
          <w:rFonts w:ascii="Arial" w:hAnsi="Arial" w:cs="Arial"/>
          <w:iCs/>
          <w:lang w:val="en-GB"/>
        </w:rPr>
        <w:t>(</w:t>
      </w:r>
      <w:r w:rsidR="009B1CAD" w:rsidRPr="00883FC0">
        <w:rPr>
          <w:rFonts w:ascii="Arial" w:hAnsi="Arial" w:cs="Arial"/>
          <w:iCs/>
          <w:lang w:val="en-GB"/>
        </w:rPr>
        <w:t xml:space="preserve">Table </w:t>
      </w:r>
      <w:r w:rsidR="006F5D22" w:rsidRPr="00883FC0">
        <w:rPr>
          <w:rFonts w:ascii="Arial" w:hAnsi="Arial" w:cs="Arial"/>
          <w:iCs/>
          <w:lang w:val="en-GB"/>
        </w:rPr>
        <w:t>4</w:t>
      </w:r>
      <w:r w:rsidRPr="00883FC0">
        <w:rPr>
          <w:rFonts w:ascii="Arial" w:hAnsi="Arial" w:cs="Arial"/>
          <w:iCs/>
          <w:lang w:val="en-GB"/>
        </w:rPr>
        <w:t>,</w:t>
      </w:r>
      <w:r w:rsidR="009B1CAD" w:rsidRPr="00883FC0">
        <w:rPr>
          <w:rFonts w:ascii="Arial" w:hAnsi="Arial" w:cs="Arial"/>
          <w:iCs/>
          <w:lang w:val="en-GB"/>
        </w:rPr>
        <w:t xml:space="preserve"> Table S2</w:t>
      </w:r>
      <w:r w:rsidRPr="00883FC0">
        <w:rPr>
          <w:rFonts w:ascii="Arial" w:hAnsi="Arial" w:cs="Arial"/>
          <w:iCs/>
          <w:lang w:val="en-GB"/>
        </w:rPr>
        <w:t>). Some gastrointestinal nematodes were mostly found in sheep feces</w:t>
      </w:r>
      <w:r w:rsidR="00F542BB" w:rsidRPr="00F542BB">
        <w:rPr>
          <w:rFonts w:ascii="Arial" w:hAnsi="Arial" w:cs="Arial"/>
          <w:iCs/>
          <w:highlight w:val="yellow"/>
          <w:lang w:val="en-GB"/>
        </w:rPr>
        <w:t>,</w:t>
      </w:r>
      <w:r w:rsidRPr="00883FC0">
        <w:rPr>
          <w:rFonts w:ascii="Arial" w:hAnsi="Arial" w:cs="Arial"/>
          <w:iCs/>
          <w:lang w:val="en-GB"/>
        </w:rPr>
        <w:t xml:space="preserve"> or only in ibex feces </w:t>
      </w:r>
      <w:r w:rsidR="007C54F3" w:rsidRPr="00883FC0">
        <w:rPr>
          <w:rFonts w:ascii="Arial" w:hAnsi="Arial" w:cs="Arial"/>
          <w:iCs/>
          <w:lang w:val="en-GB"/>
        </w:rPr>
        <w:t>(</w:t>
      </w:r>
      <w:r w:rsidR="00577DBD" w:rsidRPr="00883FC0">
        <w:rPr>
          <w:rFonts w:ascii="Arial" w:hAnsi="Arial" w:cs="Arial"/>
          <w:iCs/>
          <w:lang w:val="en-GB"/>
        </w:rPr>
        <w:t>Figure 2</w:t>
      </w:r>
      <w:r w:rsidRPr="00883FC0">
        <w:rPr>
          <w:rFonts w:ascii="Arial" w:hAnsi="Arial" w:cs="Arial"/>
          <w:iCs/>
          <w:lang w:val="en-GB"/>
        </w:rPr>
        <w:t xml:space="preserve">a). </w:t>
      </w:r>
      <w:r w:rsidRPr="00883FC0">
        <w:rPr>
          <w:rFonts w:ascii="Arial" w:hAnsi="Arial" w:cs="Arial"/>
          <w:i/>
          <w:iCs/>
          <w:lang w:val="en-GB"/>
        </w:rPr>
        <w:t>Trichostrongylus colubriformis</w:t>
      </w:r>
      <w:r w:rsidRPr="00883FC0">
        <w:rPr>
          <w:rFonts w:ascii="Arial" w:hAnsi="Arial" w:cs="Arial"/>
          <w:iCs/>
          <w:lang w:val="en-GB"/>
        </w:rPr>
        <w:t xml:space="preserve"> was more frequent in the Ecrins </w:t>
      </w:r>
      <w:r w:rsidR="00F542BB">
        <w:rPr>
          <w:rFonts w:ascii="Arial" w:hAnsi="Arial" w:cs="Arial"/>
          <w:iCs/>
          <w:lang w:val="en-GB"/>
        </w:rPr>
        <w:t>N</w:t>
      </w:r>
      <w:r w:rsidRPr="00883FC0">
        <w:rPr>
          <w:rFonts w:ascii="Arial" w:hAnsi="Arial" w:cs="Arial"/>
          <w:iCs/>
          <w:lang w:val="en-GB"/>
        </w:rPr>
        <w:t xml:space="preserve">ational </w:t>
      </w:r>
      <w:r w:rsidR="00F542BB">
        <w:rPr>
          <w:rFonts w:ascii="Arial" w:hAnsi="Arial" w:cs="Arial"/>
          <w:iCs/>
          <w:lang w:val="en-GB"/>
        </w:rPr>
        <w:t>P</w:t>
      </w:r>
      <w:r w:rsidRPr="00883FC0">
        <w:rPr>
          <w:rFonts w:ascii="Arial" w:hAnsi="Arial" w:cs="Arial"/>
          <w:iCs/>
          <w:lang w:val="en-GB"/>
        </w:rPr>
        <w:t>ark</w:t>
      </w:r>
      <w:r w:rsidR="00F542BB">
        <w:rPr>
          <w:rFonts w:ascii="Arial" w:hAnsi="Arial" w:cs="Arial"/>
          <w:iCs/>
          <w:lang w:val="en-GB"/>
        </w:rPr>
        <w:t xml:space="preserve">, </w:t>
      </w:r>
      <w:r w:rsidR="00F542BB" w:rsidRPr="00F542BB">
        <w:rPr>
          <w:rFonts w:ascii="Arial" w:hAnsi="Arial" w:cs="Arial"/>
          <w:iCs/>
          <w:highlight w:val="yellow"/>
          <w:lang w:val="en-GB"/>
        </w:rPr>
        <w:t>i.e., in the Cerces and Champsaur massifs combined</w:t>
      </w:r>
      <w:r w:rsidRPr="00883FC0">
        <w:rPr>
          <w:rFonts w:ascii="Arial" w:hAnsi="Arial" w:cs="Arial"/>
          <w:iCs/>
          <w:lang w:val="en-GB"/>
        </w:rPr>
        <w:t xml:space="preserve"> (mean RRA: 10% </w:t>
      </w:r>
      <w:r w:rsidRPr="00883FC0">
        <w:rPr>
          <w:rFonts w:ascii="Arial" w:hAnsi="Arial" w:cs="Arial"/>
          <w:color w:val="000000"/>
          <w:lang w:val="en-GB"/>
        </w:rPr>
        <w:t>[6%; 13%]</w:t>
      </w:r>
      <w:r w:rsidRPr="00883FC0">
        <w:rPr>
          <w:rFonts w:ascii="Arial" w:hAnsi="Arial" w:cs="Arial"/>
          <w:color w:val="000000"/>
          <w:vertAlign w:val="subscript"/>
          <w:lang w:val="en-GB"/>
        </w:rPr>
        <w:t>95CI</w:t>
      </w:r>
      <w:r w:rsidRPr="00883FC0">
        <w:rPr>
          <w:rFonts w:ascii="Arial" w:hAnsi="Arial" w:cs="Arial"/>
          <w:iCs/>
          <w:color w:val="000000"/>
          <w:lang w:val="en-GB"/>
        </w:rPr>
        <w:t>) than in Belledonne (mean RRA: 4%</w:t>
      </w:r>
      <w:r w:rsidRPr="00883FC0">
        <w:rPr>
          <w:rFonts w:ascii="Arial" w:hAnsi="Arial" w:cs="Arial"/>
          <w:color w:val="000000"/>
          <w:lang w:val="en-GB"/>
        </w:rPr>
        <w:t xml:space="preserve"> [2%; 6%]</w:t>
      </w:r>
      <w:r w:rsidRPr="00883FC0">
        <w:rPr>
          <w:rFonts w:ascii="Arial" w:hAnsi="Arial" w:cs="Arial"/>
          <w:color w:val="000000"/>
          <w:vertAlign w:val="subscript"/>
          <w:lang w:val="en-GB"/>
        </w:rPr>
        <w:t>95CI</w:t>
      </w:r>
      <w:r w:rsidRPr="00883FC0">
        <w:rPr>
          <w:rFonts w:ascii="Arial" w:hAnsi="Arial" w:cs="Arial"/>
          <w:iCs/>
          <w:color w:val="000000"/>
          <w:lang w:val="en-GB"/>
        </w:rPr>
        <w:t xml:space="preserve">). Likewise, </w:t>
      </w:r>
      <w:r w:rsidRPr="00883FC0">
        <w:rPr>
          <w:rFonts w:ascii="Arial" w:hAnsi="Arial" w:cs="Arial"/>
          <w:i/>
          <w:iCs/>
          <w:color w:val="000000"/>
          <w:lang w:val="en-GB"/>
        </w:rPr>
        <w:t>Marshallagia</w:t>
      </w:r>
      <w:r w:rsidRPr="00883FC0">
        <w:rPr>
          <w:rFonts w:ascii="Arial" w:hAnsi="Arial" w:cs="Arial"/>
          <w:iCs/>
          <w:color w:val="000000"/>
          <w:lang w:val="en-GB"/>
        </w:rPr>
        <w:t xml:space="preserve"> spp. was more frequent in ibex feces in Cerces and Champsaur mountains (mean RRA: 11% </w:t>
      </w:r>
      <w:r w:rsidRPr="00883FC0">
        <w:rPr>
          <w:rFonts w:ascii="Arial" w:hAnsi="Arial" w:cs="Arial"/>
          <w:color w:val="000000"/>
          <w:lang w:val="en-GB"/>
        </w:rPr>
        <w:t>[6%;15%]</w:t>
      </w:r>
      <w:r w:rsidRPr="00883FC0">
        <w:rPr>
          <w:rFonts w:ascii="Arial" w:hAnsi="Arial" w:cs="Arial"/>
          <w:color w:val="000000"/>
          <w:vertAlign w:val="subscript"/>
          <w:lang w:val="en-GB"/>
        </w:rPr>
        <w:t>95CI</w:t>
      </w:r>
      <w:r w:rsidRPr="00883FC0">
        <w:rPr>
          <w:rFonts w:ascii="Arial" w:hAnsi="Arial" w:cs="Arial"/>
          <w:iCs/>
          <w:color w:val="000000"/>
          <w:lang w:val="en-GB"/>
        </w:rPr>
        <w:t xml:space="preserve">) than in ibex feces in Belledonne (0.4% </w:t>
      </w:r>
      <w:r w:rsidRPr="00883FC0">
        <w:rPr>
          <w:rFonts w:ascii="Arial" w:hAnsi="Arial" w:cs="Arial"/>
          <w:color w:val="000000"/>
          <w:lang w:val="en-GB"/>
        </w:rPr>
        <w:t>[</w:t>
      </w:r>
      <w:r w:rsidR="002C2476" w:rsidRPr="00883FC0">
        <w:rPr>
          <w:rFonts w:ascii="Arial" w:hAnsi="Arial" w:cs="Arial"/>
          <w:color w:val="000000"/>
          <w:lang w:val="en-GB"/>
        </w:rPr>
        <w:t>-</w:t>
      </w:r>
      <w:r w:rsidRPr="00883FC0">
        <w:rPr>
          <w:rFonts w:ascii="Arial" w:hAnsi="Arial" w:cs="Arial"/>
          <w:color w:val="000000"/>
          <w:lang w:val="en-GB"/>
        </w:rPr>
        <w:t xml:space="preserve">0.2%; </w:t>
      </w:r>
      <w:r w:rsidR="002C2476" w:rsidRPr="00883FC0">
        <w:rPr>
          <w:rFonts w:ascii="Arial" w:hAnsi="Arial" w:cs="Arial"/>
          <w:color w:val="000000"/>
          <w:lang w:val="en-GB"/>
        </w:rPr>
        <w:t>1</w:t>
      </w:r>
      <w:r w:rsidRPr="00883FC0">
        <w:rPr>
          <w:rFonts w:ascii="Arial" w:hAnsi="Arial" w:cs="Arial"/>
          <w:color w:val="000000"/>
          <w:lang w:val="en-GB"/>
        </w:rPr>
        <w:t>%]</w:t>
      </w:r>
      <w:r w:rsidRPr="00883FC0">
        <w:rPr>
          <w:rFonts w:ascii="Arial" w:hAnsi="Arial" w:cs="Arial"/>
          <w:color w:val="000000"/>
          <w:vertAlign w:val="subscript"/>
          <w:lang w:val="en-GB"/>
        </w:rPr>
        <w:t>95CI</w:t>
      </w:r>
      <w:r w:rsidRPr="00883FC0">
        <w:rPr>
          <w:rFonts w:ascii="Arial" w:hAnsi="Arial" w:cs="Arial"/>
          <w:iCs/>
          <w:color w:val="000000"/>
          <w:lang w:val="en-GB"/>
        </w:rPr>
        <w:t xml:space="preserve">). The distribution of </w:t>
      </w:r>
      <w:r w:rsidRPr="00883FC0">
        <w:rPr>
          <w:rFonts w:ascii="Arial" w:hAnsi="Arial" w:cs="Arial"/>
          <w:i/>
          <w:iCs/>
          <w:color w:val="000000"/>
          <w:lang w:val="en-GB"/>
        </w:rPr>
        <w:t>Haemonchus contortus</w:t>
      </w:r>
      <w:r w:rsidRPr="00883FC0">
        <w:rPr>
          <w:rFonts w:ascii="Arial" w:hAnsi="Arial" w:cs="Arial"/>
          <w:iCs/>
          <w:color w:val="000000"/>
          <w:lang w:val="en-GB"/>
        </w:rPr>
        <w:t xml:space="preserve"> in host species and sites had a particular pattern. This parasite was more frequent in ibex feces compared to sheep feces in Belledonne (mean RRA: 0.004% in sheep; 4</w:t>
      </w:r>
      <w:r w:rsidR="002C2476" w:rsidRPr="00883FC0">
        <w:rPr>
          <w:rFonts w:ascii="Arial" w:hAnsi="Arial" w:cs="Arial"/>
          <w:iCs/>
          <w:color w:val="000000"/>
          <w:lang w:val="en-GB"/>
        </w:rPr>
        <w:t>8</w:t>
      </w:r>
      <w:r w:rsidRPr="00883FC0">
        <w:rPr>
          <w:rFonts w:ascii="Arial" w:hAnsi="Arial" w:cs="Arial"/>
          <w:iCs/>
          <w:color w:val="000000"/>
          <w:lang w:val="en-GB"/>
        </w:rPr>
        <w:t>% in ibex) and Champsaur (mean RRA: 0% in sheep; 41% in ibex), while the opposite was observed in the Cerces (Aiguillette du Lauzet: mean RRA of 7% in sheep and 0.9% in ibex; Montagne de l’Oule: mean RRA of 30% in sheep and 0% in ibex).</w:t>
      </w:r>
    </w:p>
    <w:p w14:paraId="4F581A39" w14:textId="074E69EF" w:rsidR="00465377" w:rsidRPr="00883FC0" w:rsidRDefault="002D0E01" w:rsidP="00A0712B">
      <w:pPr>
        <w:pStyle w:val="NormalWeb"/>
        <w:spacing w:before="0" w:beforeAutospacing="0" w:after="0" w:afterAutospacing="0" w:line="360" w:lineRule="auto"/>
        <w:ind w:firstLine="708"/>
        <w:jc w:val="both"/>
        <w:rPr>
          <w:rFonts w:ascii="Arial" w:hAnsi="Arial" w:cs="Arial"/>
          <w:lang w:val="en-US"/>
        </w:rPr>
      </w:pPr>
      <w:r w:rsidRPr="002D0E01">
        <w:rPr>
          <w:rFonts w:ascii="Arial" w:hAnsi="Arial" w:cs="Arial"/>
          <w:highlight w:val="yellow"/>
          <w:lang w:val="en-US"/>
        </w:rPr>
        <w:t>Concerning ibex only</w:t>
      </w:r>
      <w:r>
        <w:rPr>
          <w:rFonts w:ascii="Arial" w:hAnsi="Arial" w:cs="Arial"/>
          <w:lang w:val="en-US"/>
        </w:rPr>
        <w:t>, t</w:t>
      </w:r>
      <w:r w:rsidR="00465377" w:rsidRPr="00883FC0">
        <w:rPr>
          <w:rFonts w:ascii="Arial" w:hAnsi="Arial" w:cs="Arial"/>
          <w:lang w:val="en-US"/>
        </w:rPr>
        <w:t xml:space="preserve">he model selection approach retained the effects of site and class of individuals and the interaction between the two independent factors in the best model explaining alpha diversity (Table S3). We found significant differences among sites: Shannon index of alpha diversity was higher in Belledonne (β = 0.62 ± 0.16, P &lt; 0.001, R² of the model=0.27) and Champsaur (β = 0.55 ± 0.16, P &lt; 0.001) compared to the Aiguillette du Lauzet. The diversity of nematodes was higher also in males compared to females/yearlings (β = 0.60 ± 0.15, P &lt; 0.001), except in Champsaur where males </w:t>
      </w:r>
      <w:r w:rsidR="00465377" w:rsidRPr="002D0E01">
        <w:rPr>
          <w:rFonts w:ascii="Arial" w:hAnsi="Arial" w:cs="Arial"/>
          <w:highlight w:val="yellow"/>
          <w:lang w:val="en-US"/>
        </w:rPr>
        <w:t>present</w:t>
      </w:r>
      <w:r w:rsidRPr="002D0E01">
        <w:rPr>
          <w:rFonts w:ascii="Arial" w:hAnsi="Arial" w:cs="Arial"/>
          <w:highlight w:val="yellow"/>
          <w:lang w:val="en-US"/>
        </w:rPr>
        <w:t>ed</w:t>
      </w:r>
      <w:r w:rsidR="00465377" w:rsidRPr="00883FC0">
        <w:rPr>
          <w:rFonts w:ascii="Arial" w:hAnsi="Arial" w:cs="Arial"/>
          <w:lang w:val="en-US"/>
        </w:rPr>
        <w:t xml:space="preserve"> a lower alpha diversity than females with kids (β </w:t>
      </w:r>
      <w:r w:rsidR="00465377" w:rsidRPr="00883FC0">
        <w:rPr>
          <w:rFonts w:ascii="Arial" w:hAnsi="Arial" w:cs="Arial"/>
          <w:lang w:val="en-US"/>
        </w:rPr>
        <w:lastRenderedPageBreak/>
        <w:t xml:space="preserve">= -0.52 ± 0.20, P &lt; 0.001). For the beta diversity, the best model included only the </w:t>
      </w:r>
      <w:r w:rsidR="00AC7D32" w:rsidRPr="00AC7D32">
        <w:rPr>
          <w:rFonts w:ascii="Arial" w:hAnsi="Arial" w:cs="Arial"/>
          <w:highlight w:val="yellow"/>
          <w:lang w:val="en-US"/>
        </w:rPr>
        <w:t>effect of</w:t>
      </w:r>
      <w:r w:rsidR="00AC7D32">
        <w:rPr>
          <w:rFonts w:ascii="Arial" w:hAnsi="Arial" w:cs="Arial"/>
          <w:lang w:val="en-US"/>
        </w:rPr>
        <w:t xml:space="preserve"> </w:t>
      </w:r>
      <w:r w:rsidR="00465377" w:rsidRPr="00883FC0">
        <w:rPr>
          <w:rFonts w:ascii="Arial" w:hAnsi="Arial" w:cs="Arial"/>
          <w:lang w:val="en-US"/>
        </w:rPr>
        <w:t xml:space="preserve">site </w:t>
      </w:r>
      <w:r w:rsidR="00AC7D32" w:rsidRPr="00AC7D32">
        <w:rPr>
          <w:rFonts w:ascii="Arial" w:hAnsi="Arial" w:cs="Arial"/>
          <w:highlight w:val="yellow"/>
          <w:lang w:val="en-US"/>
        </w:rPr>
        <w:t>on the difference of nemabiomes among ibex</w:t>
      </w:r>
      <w:r w:rsidR="00AC7D32">
        <w:rPr>
          <w:rFonts w:ascii="Arial" w:hAnsi="Arial" w:cs="Arial"/>
          <w:lang w:val="en-US"/>
        </w:rPr>
        <w:t xml:space="preserve"> </w:t>
      </w:r>
      <w:r w:rsidR="00465377" w:rsidRPr="00883FC0">
        <w:rPr>
          <w:rFonts w:ascii="Arial" w:hAnsi="Arial" w:cs="Arial"/>
          <w:lang w:val="en-US"/>
        </w:rPr>
        <w:t>(F</w:t>
      </w:r>
      <w:r w:rsidR="00465377" w:rsidRPr="00883FC0">
        <w:rPr>
          <w:rFonts w:ascii="Arial" w:hAnsi="Arial" w:cs="Arial"/>
          <w:vertAlign w:val="subscript"/>
          <w:lang w:val="en-US"/>
        </w:rPr>
        <w:t>2,62</w:t>
      </w:r>
      <w:r w:rsidR="00465377" w:rsidRPr="00883FC0">
        <w:rPr>
          <w:rFonts w:ascii="Arial" w:hAnsi="Arial" w:cs="Arial"/>
          <w:lang w:val="en-US"/>
        </w:rPr>
        <w:t xml:space="preserve"> = 15.93, P = 0.001, Table S4).</w:t>
      </w:r>
    </w:p>
    <w:p w14:paraId="16F94F4D" w14:textId="77777777" w:rsidR="00465377" w:rsidRPr="00883FC0" w:rsidRDefault="00465377" w:rsidP="00A0712B">
      <w:pPr>
        <w:pStyle w:val="NormalWeb"/>
        <w:spacing w:before="0" w:beforeAutospacing="0" w:after="0" w:afterAutospacing="0" w:line="360" w:lineRule="auto"/>
        <w:ind w:firstLine="708"/>
        <w:jc w:val="both"/>
        <w:rPr>
          <w:rFonts w:ascii="Arial" w:hAnsi="Arial" w:cs="Arial"/>
          <w:iCs/>
          <w:color w:val="000000"/>
          <w:lang w:val="en-GB"/>
        </w:rPr>
      </w:pPr>
    </w:p>
    <w:p w14:paraId="284D57FF" w14:textId="53C7C011" w:rsidR="00685709" w:rsidRPr="00883FC0" w:rsidRDefault="00685709" w:rsidP="00A0712B">
      <w:pPr>
        <w:pStyle w:val="Lgende"/>
        <w:spacing w:after="0" w:line="360" w:lineRule="auto"/>
        <w:jc w:val="both"/>
        <w:rPr>
          <w:rFonts w:ascii="Arial" w:hAnsi="Arial" w:cs="Arial"/>
          <w:b w:val="0"/>
          <w:iCs/>
          <w:color w:val="auto"/>
          <w:sz w:val="24"/>
          <w:u w:val="single"/>
          <w:lang w:val="en-GB"/>
        </w:rPr>
      </w:pPr>
      <w:bookmarkStart w:id="31" w:name="_Ref128754197"/>
      <w:bookmarkStart w:id="32" w:name="_Toc130062602"/>
      <w:r w:rsidRPr="00883FC0">
        <w:rPr>
          <w:rFonts w:ascii="Arial" w:hAnsi="Arial" w:cs="Arial"/>
          <w:color w:val="auto"/>
          <w:sz w:val="24"/>
          <w:u w:val="single"/>
          <w:lang w:val="en-GB"/>
        </w:rPr>
        <w:t xml:space="preserve">Table </w:t>
      </w:r>
      <w:r w:rsidRPr="00883FC0">
        <w:rPr>
          <w:rFonts w:ascii="Arial" w:hAnsi="Arial" w:cs="Arial"/>
          <w:color w:val="auto"/>
          <w:sz w:val="24"/>
          <w:u w:val="single"/>
          <w:lang w:val="en-GB"/>
        </w:rPr>
        <w:fldChar w:fldCharType="begin"/>
      </w:r>
      <w:r w:rsidRPr="00883FC0">
        <w:rPr>
          <w:rFonts w:ascii="Arial" w:hAnsi="Arial" w:cs="Arial"/>
          <w:color w:val="auto"/>
          <w:sz w:val="24"/>
          <w:u w:val="single"/>
          <w:lang w:val="en-GB"/>
        </w:rPr>
        <w:instrText xml:space="preserve"> SEQ Tableau \* ARABIC </w:instrText>
      </w:r>
      <w:r w:rsidRPr="00883FC0">
        <w:rPr>
          <w:rFonts w:ascii="Arial" w:hAnsi="Arial" w:cs="Arial"/>
          <w:color w:val="auto"/>
          <w:sz w:val="24"/>
          <w:u w:val="single"/>
          <w:lang w:val="en-GB"/>
        </w:rPr>
        <w:fldChar w:fldCharType="separate"/>
      </w:r>
      <w:r w:rsidR="00870D7F">
        <w:rPr>
          <w:rFonts w:ascii="Arial" w:hAnsi="Arial" w:cs="Arial"/>
          <w:noProof/>
          <w:color w:val="auto"/>
          <w:sz w:val="24"/>
          <w:u w:val="single"/>
          <w:lang w:val="en-GB"/>
        </w:rPr>
        <w:t>4</w:t>
      </w:r>
      <w:r w:rsidRPr="00883FC0">
        <w:rPr>
          <w:rFonts w:ascii="Arial" w:hAnsi="Arial" w:cs="Arial"/>
          <w:color w:val="auto"/>
          <w:sz w:val="24"/>
          <w:u w:val="single"/>
          <w:lang w:val="en-GB"/>
        </w:rPr>
        <w:fldChar w:fldCharType="end"/>
      </w:r>
      <w:bookmarkEnd w:id="31"/>
      <w:r w:rsidRPr="00883FC0">
        <w:rPr>
          <w:rFonts w:ascii="Arial" w:hAnsi="Arial" w:cs="Arial"/>
          <w:b w:val="0"/>
          <w:color w:val="auto"/>
          <w:sz w:val="24"/>
          <w:u w:val="single"/>
          <w:lang w:val="en-GB"/>
        </w:rPr>
        <w:t> </w:t>
      </w:r>
      <w:r w:rsidRPr="00883FC0">
        <w:rPr>
          <w:rFonts w:ascii="Arial" w:hAnsi="Arial" w:cs="Arial"/>
          <w:b w:val="0"/>
          <w:iCs/>
          <w:color w:val="auto"/>
          <w:sz w:val="24"/>
          <w:u w:val="single"/>
          <w:lang w:val="en-GB"/>
        </w:rPr>
        <w:t>: Parameters estimated from the best PerMANOVA model explaining the beta diversity in ibex and sheep.</w:t>
      </w:r>
      <w:r w:rsidRPr="00883FC0">
        <w:rPr>
          <w:rFonts w:ascii="Arial" w:hAnsi="Arial" w:cs="Arial"/>
          <w:b w:val="0"/>
          <w:iCs/>
          <w:color w:val="auto"/>
          <w:sz w:val="24"/>
          <w:lang w:val="en-GB"/>
        </w:rPr>
        <w:t xml:space="preserve"> The effect of host species (ibex or sheep) and site (Aiguillette de Lauzet, Montagne de l’Oule, Champsaur or Belledonne) and the interaction between the two factors are reported. Partial R² are reported with the corresponding </w:t>
      </w:r>
      <w:r w:rsidRPr="00883FC0">
        <w:rPr>
          <w:rFonts w:ascii="Arial" w:hAnsi="Arial" w:cs="Arial"/>
          <w:b w:val="0"/>
          <w:i/>
          <w:iCs/>
          <w:color w:val="auto"/>
          <w:sz w:val="24"/>
          <w:lang w:val="en-GB"/>
        </w:rPr>
        <w:t>F-</w:t>
      </w:r>
      <w:r w:rsidRPr="00883FC0">
        <w:rPr>
          <w:rFonts w:ascii="Arial" w:hAnsi="Arial" w:cs="Arial"/>
          <w:b w:val="0"/>
          <w:iCs/>
          <w:color w:val="auto"/>
          <w:sz w:val="24"/>
          <w:lang w:val="en-GB"/>
        </w:rPr>
        <w:t xml:space="preserve">value and </w:t>
      </w:r>
      <w:r w:rsidRPr="00883FC0">
        <w:rPr>
          <w:rFonts w:ascii="Arial" w:hAnsi="Arial" w:cs="Arial"/>
          <w:b w:val="0"/>
          <w:i/>
          <w:iCs/>
          <w:color w:val="auto"/>
          <w:sz w:val="24"/>
          <w:lang w:val="en-GB"/>
        </w:rPr>
        <w:t>p value</w:t>
      </w:r>
      <w:r w:rsidRPr="00883FC0">
        <w:rPr>
          <w:rFonts w:ascii="Arial" w:hAnsi="Arial" w:cs="Arial"/>
          <w:b w:val="0"/>
          <w:iCs/>
          <w:color w:val="auto"/>
          <w:sz w:val="24"/>
          <w:lang w:val="en-GB"/>
        </w:rPr>
        <w:t xml:space="preserve"> (P).</w:t>
      </w:r>
      <w:bookmarkEnd w:id="32"/>
    </w:p>
    <w:tbl>
      <w:tblPr>
        <w:tblStyle w:val="Tableausimple2"/>
        <w:tblW w:w="0" w:type="auto"/>
        <w:tblLook w:val="04A0" w:firstRow="1" w:lastRow="0" w:firstColumn="1" w:lastColumn="0" w:noHBand="0" w:noVBand="1"/>
      </w:tblPr>
      <w:tblGrid>
        <w:gridCol w:w="1131"/>
        <w:gridCol w:w="3122"/>
        <w:gridCol w:w="2053"/>
        <w:gridCol w:w="1096"/>
        <w:gridCol w:w="953"/>
        <w:gridCol w:w="717"/>
      </w:tblGrid>
      <w:tr w:rsidR="006463F4" w:rsidRPr="00883FC0" w14:paraId="6592E908" w14:textId="77777777" w:rsidTr="00B82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0DA85C91"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szCs w:val="20"/>
                <w:lang w:val="en-US"/>
              </w:rPr>
            </w:pPr>
            <w:r w:rsidRPr="00883FC0">
              <w:rPr>
                <w:rFonts w:ascii="Arial" w:hAnsi="Arial" w:cs="Arial"/>
                <w:b w:val="0"/>
                <w:iCs/>
                <w:color w:val="000000"/>
                <w:sz w:val="20"/>
                <w:szCs w:val="20"/>
                <w:lang w:val="en-US"/>
              </w:rPr>
              <w:t>Diversity index</w:t>
            </w:r>
          </w:p>
        </w:tc>
        <w:tc>
          <w:tcPr>
            <w:tcW w:w="3122" w:type="dxa"/>
          </w:tcPr>
          <w:p w14:paraId="0EF3E16C"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szCs w:val="20"/>
                <w:lang w:val="en-US"/>
              </w:rPr>
            </w:pPr>
            <w:r w:rsidRPr="00883FC0">
              <w:rPr>
                <w:rFonts w:ascii="Arial" w:hAnsi="Arial" w:cs="Arial"/>
                <w:b w:val="0"/>
                <w:iCs/>
                <w:color w:val="000000"/>
                <w:sz w:val="20"/>
                <w:szCs w:val="20"/>
                <w:lang w:val="en-US"/>
              </w:rPr>
              <w:t>Best model selected</w:t>
            </w:r>
          </w:p>
        </w:tc>
        <w:tc>
          <w:tcPr>
            <w:tcW w:w="2053" w:type="dxa"/>
          </w:tcPr>
          <w:p w14:paraId="3D1BAF4C"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szCs w:val="20"/>
                <w:lang w:val="en-US"/>
              </w:rPr>
            </w:pPr>
            <w:r w:rsidRPr="00883FC0">
              <w:rPr>
                <w:rFonts w:ascii="Arial" w:hAnsi="Arial" w:cs="Arial"/>
                <w:b w:val="0"/>
                <w:iCs/>
                <w:color w:val="000000"/>
                <w:sz w:val="20"/>
                <w:szCs w:val="20"/>
                <w:lang w:val="en-US"/>
              </w:rPr>
              <w:t>Variables</w:t>
            </w:r>
          </w:p>
        </w:tc>
        <w:tc>
          <w:tcPr>
            <w:tcW w:w="1096" w:type="dxa"/>
          </w:tcPr>
          <w:p w14:paraId="6A20BFE3"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szCs w:val="20"/>
                <w:lang w:val="en-US"/>
              </w:rPr>
            </w:pPr>
            <w:r w:rsidRPr="00883FC0">
              <w:rPr>
                <w:rFonts w:ascii="Arial" w:hAnsi="Arial" w:cs="Arial"/>
                <w:b w:val="0"/>
                <w:iCs/>
                <w:color w:val="000000"/>
                <w:sz w:val="20"/>
                <w:szCs w:val="20"/>
                <w:lang w:val="en-US"/>
              </w:rPr>
              <w:t>partial R²</w:t>
            </w:r>
          </w:p>
        </w:tc>
        <w:tc>
          <w:tcPr>
            <w:tcW w:w="953" w:type="dxa"/>
          </w:tcPr>
          <w:p w14:paraId="056E5A09"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szCs w:val="20"/>
                <w:lang w:val="en-US"/>
              </w:rPr>
            </w:pPr>
            <w:r w:rsidRPr="00883FC0">
              <w:rPr>
                <w:rFonts w:ascii="Arial" w:hAnsi="Arial" w:cs="Arial"/>
                <w:b w:val="0"/>
                <w:iCs/>
                <w:color w:val="000000"/>
                <w:sz w:val="20"/>
                <w:szCs w:val="20"/>
                <w:lang w:val="en-US"/>
              </w:rPr>
              <w:t>F-value</w:t>
            </w:r>
          </w:p>
        </w:tc>
        <w:tc>
          <w:tcPr>
            <w:tcW w:w="717" w:type="dxa"/>
          </w:tcPr>
          <w:p w14:paraId="7580B454"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szCs w:val="20"/>
                <w:lang w:val="en-US"/>
              </w:rPr>
            </w:pPr>
            <w:r w:rsidRPr="00883FC0">
              <w:rPr>
                <w:rFonts w:ascii="Arial" w:hAnsi="Arial" w:cs="Arial"/>
                <w:b w:val="0"/>
                <w:iCs/>
                <w:color w:val="000000"/>
                <w:sz w:val="20"/>
                <w:szCs w:val="20"/>
                <w:lang w:val="en-US"/>
              </w:rPr>
              <w:t>P</w:t>
            </w:r>
          </w:p>
        </w:tc>
      </w:tr>
      <w:tr w:rsidR="006463F4" w:rsidRPr="00883FC0" w14:paraId="26FEDCCE"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vMerge w:val="restart"/>
          </w:tcPr>
          <w:p w14:paraId="5002D51C"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szCs w:val="20"/>
                <w:lang w:val="en-US"/>
              </w:rPr>
            </w:pPr>
            <w:r w:rsidRPr="00883FC0">
              <w:rPr>
                <w:rFonts w:ascii="Arial" w:hAnsi="Arial" w:cs="Arial"/>
                <w:b w:val="0"/>
                <w:iCs/>
                <w:color w:val="000000"/>
                <w:sz w:val="20"/>
                <w:szCs w:val="20"/>
                <w:lang w:val="en-US"/>
              </w:rPr>
              <w:t xml:space="preserve">Weighted </w:t>
            </w:r>
            <w:proofErr w:type="spellStart"/>
            <w:r w:rsidRPr="00883FC0">
              <w:rPr>
                <w:rFonts w:ascii="Arial" w:hAnsi="Arial" w:cs="Arial"/>
                <w:b w:val="0"/>
                <w:iCs/>
                <w:color w:val="000000"/>
                <w:sz w:val="20"/>
                <w:szCs w:val="20"/>
                <w:lang w:val="en-US"/>
              </w:rPr>
              <w:t>UniFrac</w:t>
            </w:r>
            <w:proofErr w:type="spellEnd"/>
          </w:p>
        </w:tc>
        <w:tc>
          <w:tcPr>
            <w:tcW w:w="3122" w:type="dxa"/>
            <w:vMerge w:val="restart"/>
          </w:tcPr>
          <w:p w14:paraId="17B68105"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 xml:space="preserve">β </w:t>
            </w:r>
            <w:r w:rsidRPr="00883FC0">
              <w:rPr>
                <w:rFonts w:ascii="Cambria Math" w:hAnsi="Cambria Math" w:cs="Cambria Math"/>
                <w:iCs/>
                <w:color w:val="000000"/>
                <w:sz w:val="20"/>
                <w:szCs w:val="20"/>
                <w:lang w:val="en-US"/>
              </w:rPr>
              <w:t>∼</w:t>
            </w:r>
            <w:r w:rsidRPr="00883FC0">
              <w:rPr>
                <w:rFonts w:ascii="Arial" w:hAnsi="Arial" w:cs="Arial"/>
                <w:iCs/>
                <w:color w:val="000000"/>
                <w:sz w:val="20"/>
                <w:szCs w:val="20"/>
                <w:lang w:val="en-US"/>
              </w:rPr>
              <w:t xml:space="preserve"> Site x Host species</w:t>
            </w:r>
          </w:p>
        </w:tc>
        <w:tc>
          <w:tcPr>
            <w:tcW w:w="2053" w:type="dxa"/>
          </w:tcPr>
          <w:p w14:paraId="4F805B3B"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Residuals</w:t>
            </w:r>
          </w:p>
        </w:tc>
        <w:tc>
          <w:tcPr>
            <w:tcW w:w="1096" w:type="dxa"/>
          </w:tcPr>
          <w:p w14:paraId="0A38CC0A" w14:textId="674314B1"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0.5</w:t>
            </w:r>
            <w:r w:rsidR="003E1B21" w:rsidRPr="00883FC0">
              <w:rPr>
                <w:rFonts w:ascii="Arial" w:hAnsi="Arial" w:cs="Arial"/>
                <w:iCs/>
                <w:color w:val="000000"/>
                <w:sz w:val="20"/>
                <w:szCs w:val="20"/>
                <w:lang w:val="en-US"/>
              </w:rPr>
              <w:t>5</w:t>
            </w:r>
          </w:p>
        </w:tc>
        <w:tc>
          <w:tcPr>
            <w:tcW w:w="953" w:type="dxa"/>
          </w:tcPr>
          <w:p w14:paraId="3FF85ACC"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w:t>
            </w:r>
          </w:p>
        </w:tc>
        <w:tc>
          <w:tcPr>
            <w:tcW w:w="717" w:type="dxa"/>
          </w:tcPr>
          <w:p w14:paraId="35C022AB"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w:t>
            </w:r>
          </w:p>
        </w:tc>
      </w:tr>
      <w:tr w:rsidR="006463F4" w:rsidRPr="00883FC0" w14:paraId="18C09968" w14:textId="77777777" w:rsidTr="00B82943">
        <w:tc>
          <w:tcPr>
            <w:cnfStyle w:val="001000000000" w:firstRow="0" w:lastRow="0" w:firstColumn="1" w:lastColumn="0" w:oddVBand="0" w:evenVBand="0" w:oddHBand="0" w:evenHBand="0" w:firstRowFirstColumn="0" w:firstRowLastColumn="0" w:lastRowFirstColumn="0" w:lastRowLastColumn="0"/>
            <w:tcW w:w="1131" w:type="dxa"/>
            <w:vMerge/>
          </w:tcPr>
          <w:p w14:paraId="1A6986C8"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szCs w:val="20"/>
                <w:lang w:val="en-US"/>
              </w:rPr>
            </w:pPr>
          </w:p>
        </w:tc>
        <w:tc>
          <w:tcPr>
            <w:tcW w:w="3122" w:type="dxa"/>
            <w:vMerge/>
          </w:tcPr>
          <w:p w14:paraId="5D64661E"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p>
        </w:tc>
        <w:tc>
          <w:tcPr>
            <w:tcW w:w="2053" w:type="dxa"/>
          </w:tcPr>
          <w:p w14:paraId="6FAE8754"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Site</w:t>
            </w:r>
          </w:p>
        </w:tc>
        <w:tc>
          <w:tcPr>
            <w:tcW w:w="1096" w:type="dxa"/>
          </w:tcPr>
          <w:p w14:paraId="158A9A14"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0.14</w:t>
            </w:r>
          </w:p>
        </w:tc>
        <w:tc>
          <w:tcPr>
            <w:tcW w:w="953" w:type="dxa"/>
          </w:tcPr>
          <w:p w14:paraId="0145AEC9" w14:textId="5CE98351"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16.</w:t>
            </w:r>
            <w:r w:rsidR="003E1B21" w:rsidRPr="00883FC0">
              <w:rPr>
                <w:rFonts w:ascii="Arial" w:hAnsi="Arial" w:cs="Arial"/>
                <w:iCs/>
                <w:color w:val="000000"/>
                <w:sz w:val="20"/>
                <w:szCs w:val="20"/>
                <w:lang w:val="en-US"/>
              </w:rPr>
              <w:t>39</w:t>
            </w:r>
          </w:p>
        </w:tc>
        <w:tc>
          <w:tcPr>
            <w:tcW w:w="717" w:type="dxa"/>
          </w:tcPr>
          <w:p w14:paraId="694F0D5D"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0.001</w:t>
            </w:r>
          </w:p>
        </w:tc>
      </w:tr>
      <w:tr w:rsidR="006463F4" w:rsidRPr="00883FC0" w14:paraId="6F5AC510"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vMerge/>
          </w:tcPr>
          <w:p w14:paraId="2FC9E9F2"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szCs w:val="20"/>
                <w:lang w:val="en-US"/>
              </w:rPr>
            </w:pPr>
          </w:p>
        </w:tc>
        <w:tc>
          <w:tcPr>
            <w:tcW w:w="3122" w:type="dxa"/>
            <w:vMerge/>
          </w:tcPr>
          <w:p w14:paraId="7020C779"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p>
        </w:tc>
        <w:tc>
          <w:tcPr>
            <w:tcW w:w="2053" w:type="dxa"/>
          </w:tcPr>
          <w:p w14:paraId="34914FA3"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Host species</w:t>
            </w:r>
          </w:p>
        </w:tc>
        <w:tc>
          <w:tcPr>
            <w:tcW w:w="1096" w:type="dxa"/>
          </w:tcPr>
          <w:p w14:paraId="45A90298" w14:textId="5B0271B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0.0</w:t>
            </w:r>
            <w:r w:rsidR="003E1B21" w:rsidRPr="00883FC0">
              <w:rPr>
                <w:rFonts w:ascii="Arial" w:hAnsi="Arial" w:cs="Arial"/>
                <w:iCs/>
                <w:color w:val="000000"/>
                <w:sz w:val="20"/>
                <w:szCs w:val="20"/>
                <w:lang w:val="en-US"/>
              </w:rPr>
              <w:t>8</w:t>
            </w:r>
          </w:p>
        </w:tc>
        <w:tc>
          <w:tcPr>
            <w:tcW w:w="953" w:type="dxa"/>
          </w:tcPr>
          <w:p w14:paraId="7FD56E03" w14:textId="6BDC62FD" w:rsidR="006463F4" w:rsidRPr="00883FC0" w:rsidRDefault="003E1B21"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27</w:t>
            </w:r>
            <w:r w:rsidR="006463F4" w:rsidRPr="00883FC0">
              <w:rPr>
                <w:rFonts w:ascii="Arial" w:hAnsi="Arial" w:cs="Arial"/>
                <w:iCs/>
                <w:color w:val="000000"/>
                <w:sz w:val="20"/>
                <w:szCs w:val="20"/>
                <w:lang w:val="en-US"/>
              </w:rPr>
              <w:t>.</w:t>
            </w:r>
            <w:r w:rsidRPr="00883FC0">
              <w:rPr>
                <w:rFonts w:ascii="Arial" w:hAnsi="Arial" w:cs="Arial"/>
                <w:iCs/>
                <w:color w:val="000000"/>
                <w:sz w:val="20"/>
                <w:szCs w:val="20"/>
                <w:lang w:val="en-US"/>
              </w:rPr>
              <w:t>69</w:t>
            </w:r>
          </w:p>
        </w:tc>
        <w:tc>
          <w:tcPr>
            <w:tcW w:w="717" w:type="dxa"/>
          </w:tcPr>
          <w:p w14:paraId="39EA5F67"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0.001</w:t>
            </w:r>
          </w:p>
        </w:tc>
      </w:tr>
      <w:tr w:rsidR="006463F4" w:rsidRPr="00883FC0" w14:paraId="1F56FA04" w14:textId="77777777" w:rsidTr="00B82943">
        <w:tc>
          <w:tcPr>
            <w:cnfStyle w:val="001000000000" w:firstRow="0" w:lastRow="0" w:firstColumn="1" w:lastColumn="0" w:oddVBand="0" w:evenVBand="0" w:oddHBand="0" w:evenHBand="0" w:firstRowFirstColumn="0" w:firstRowLastColumn="0" w:lastRowFirstColumn="0" w:lastRowLastColumn="0"/>
            <w:tcW w:w="1131" w:type="dxa"/>
            <w:vMerge/>
          </w:tcPr>
          <w:p w14:paraId="0846DE11"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szCs w:val="20"/>
                <w:lang w:val="en-US"/>
              </w:rPr>
            </w:pPr>
          </w:p>
        </w:tc>
        <w:tc>
          <w:tcPr>
            <w:tcW w:w="3122" w:type="dxa"/>
            <w:vMerge/>
          </w:tcPr>
          <w:p w14:paraId="21C1F158"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p>
        </w:tc>
        <w:tc>
          <w:tcPr>
            <w:tcW w:w="2053" w:type="dxa"/>
          </w:tcPr>
          <w:p w14:paraId="2854752B"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Site: Host species</w:t>
            </w:r>
          </w:p>
        </w:tc>
        <w:tc>
          <w:tcPr>
            <w:tcW w:w="1096" w:type="dxa"/>
          </w:tcPr>
          <w:p w14:paraId="4B1FAEF0" w14:textId="07FFB9BA"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0.2</w:t>
            </w:r>
            <w:r w:rsidR="003E1B21" w:rsidRPr="00883FC0">
              <w:rPr>
                <w:rFonts w:ascii="Arial" w:hAnsi="Arial" w:cs="Arial"/>
                <w:iCs/>
                <w:color w:val="000000"/>
                <w:sz w:val="20"/>
                <w:szCs w:val="20"/>
                <w:lang w:val="en-US"/>
              </w:rPr>
              <w:t>2</w:t>
            </w:r>
          </w:p>
        </w:tc>
        <w:tc>
          <w:tcPr>
            <w:tcW w:w="953" w:type="dxa"/>
          </w:tcPr>
          <w:p w14:paraId="19870F7F" w14:textId="3847C4A3"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2</w:t>
            </w:r>
            <w:r w:rsidR="003E1B21" w:rsidRPr="00883FC0">
              <w:rPr>
                <w:rFonts w:ascii="Arial" w:hAnsi="Arial" w:cs="Arial"/>
                <w:iCs/>
                <w:color w:val="000000"/>
                <w:sz w:val="20"/>
                <w:szCs w:val="20"/>
                <w:lang w:val="en-US"/>
              </w:rPr>
              <w:t>5</w:t>
            </w:r>
            <w:r w:rsidRPr="00883FC0">
              <w:rPr>
                <w:rFonts w:ascii="Arial" w:hAnsi="Arial" w:cs="Arial"/>
                <w:iCs/>
                <w:color w:val="000000"/>
                <w:sz w:val="20"/>
                <w:szCs w:val="20"/>
                <w:lang w:val="en-US"/>
              </w:rPr>
              <w:t>.</w:t>
            </w:r>
            <w:r w:rsidR="003E1B21" w:rsidRPr="00883FC0">
              <w:rPr>
                <w:rFonts w:ascii="Arial" w:hAnsi="Arial" w:cs="Arial"/>
                <w:iCs/>
                <w:color w:val="000000"/>
                <w:sz w:val="20"/>
                <w:szCs w:val="20"/>
                <w:lang w:val="en-US"/>
              </w:rPr>
              <w:t>61</w:t>
            </w:r>
          </w:p>
        </w:tc>
        <w:tc>
          <w:tcPr>
            <w:tcW w:w="717" w:type="dxa"/>
          </w:tcPr>
          <w:p w14:paraId="6D6A3A99"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lang w:val="en-US"/>
              </w:rPr>
            </w:pPr>
            <w:r w:rsidRPr="00883FC0">
              <w:rPr>
                <w:rFonts w:ascii="Arial" w:hAnsi="Arial" w:cs="Arial"/>
                <w:iCs/>
                <w:color w:val="000000"/>
                <w:sz w:val="20"/>
                <w:szCs w:val="20"/>
                <w:lang w:val="en-US"/>
              </w:rPr>
              <w:t>0.001</w:t>
            </w:r>
          </w:p>
        </w:tc>
      </w:tr>
    </w:tbl>
    <w:p w14:paraId="66C23DCC"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u w:val="single"/>
          <w:lang w:val="en-US"/>
        </w:rPr>
      </w:pPr>
    </w:p>
    <w:p w14:paraId="07F8F6B3" w14:textId="3AF7D0BA" w:rsidR="006463F4" w:rsidRPr="00883FC0" w:rsidRDefault="003B3674" w:rsidP="00A0712B">
      <w:pPr>
        <w:pStyle w:val="NormalWeb"/>
        <w:spacing w:before="0" w:beforeAutospacing="0" w:after="0" w:afterAutospacing="0" w:line="360" w:lineRule="auto"/>
        <w:jc w:val="both"/>
        <w:rPr>
          <w:rFonts w:ascii="Arial" w:hAnsi="Arial" w:cs="Arial"/>
          <w:iCs/>
          <w:color w:val="000000"/>
          <w:u w:val="single"/>
          <w:lang w:val="en-US"/>
        </w:rPr>
      </w:pPr>
      <w:r w:rsidRPr="00883FC0">
        <w:rPr>
          <w:rFonts w:ascii="Arial" w:hAnsi="Arial" w:cs="Arial"/>
          <w:iCs/>
          <w:noProof/>
          <w:color w:val="000000"/>
          <w:lang w:val="en-US"/>
        </w:rPr>
        <w:lastRenderedPageBreak/>
        <w:drawing>
          <wp:inline distT="0" distB="0" distL="0" distR="0" wp14:anchorId="500F3135" wp14:editId="128FBB46">
            <wp:extent cx="5760720" cy="60528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052820"/>
                    </a:xfrm>
                    <a:prstGeom prst="rect">
                      <a:avLst/>
                    </a:prstGeom>
                  </pic:spPr>
                </pic:pic>
              </a:graphicData>
            </a:graphic>
          </wp:inline>
        </w:drawing>
      </w:r>
    </w:p>
    <w:p w14:paraId="3812DB6B" w14:textId="57BD4BEE" w:rsidR="003E01B7" w:rsidRPr="00883FC0" w:rsidRDefault="00577DBD" w:rsidP="00A0712B">
      <w:pPr>
        <w:pStyle w:val="Lgende"/>
        <w:spacing w:after="0" w:line="360" w:lineRule="auto"/>
        <w:jc w:val="both"/>
        <w:rPr>
          <w:rFonts w:ascii="Arial" w:hAnsi="Arial" w:cs="Arial"/>
          <w:b w:val="0"/>
          <w:iCs/>
          <w:color w:val="auto"/>
          <w:sz w:val="24"/>
          <w:szCs w:val="24"/>
          <w:lang w:val="en-GB"/>
        </w:rPr>
      </w:pPr>
      <w:bookmarkStart w:id="33" w:name="_Ref128753279"/>
      <w:bookmarkStart w:id="34" w:name="_Toc129896636"/>
      <w:bookmarkStart w:id="35" w:name="_Toc129984666"/>
      <w:bookmarkStart w:id="36" w:name="_Toc129193250"/>
      <w:r w:rsidRPr="00883FC0">
        <w:rPr>
          <w:rFonts w:ascii="Arial" w:hAnsi="Arial" w:cs="Arial"/>
          <w:color w:val="auto"/>
          <w:sz w:val="24"/>
          <w:szCs w:val="24"/>
          <w:u w:val="single"/>
          <w:lang w:val="en-GB"/>
        </w:rPr>
        <w:t xml:space="preserve">Figure </w:t>
      </w:r>
      <w:bookmarkEnd w:id="33"/>
      <w:r w:rsidR="00AC7D32" w:rsidRPr="00883FC0">
        <w:rPr>
          <w:rFonts w:ascii="Arial" w:hAnsi="Arial" w:cs="Arial"/>
          <w:color w:val="auto"/>
          <w:sz w:val="24"/>
          <w:szCs w:val="24"/>
          <w:u w:val="single"/>
          <w:lang w:val="en-GB"/>
        </w:rPr>
        <w:t>2</w:t>
      </w:r>
      <w:r w:rsidR="00AC7D32" w:rsidRPr="00883FC0">
        <w:rPr>
          <w:rFonts w:ascii="Arial" w:hAnsi="Arial" w:cs="Arial"/>
          <w:b w:val="0"/>
          <w:color w:val="auto"/>
          <w:sz w:val="24"/>
          <w:szCs w:val="24"/>
          <w:u w:val="single"/>
          <w:lang w:val="en-GB"/>
        </w:rPr>
        <w:t>:</w:t>
      </w:r>
      <w:r w:rsidR="003E01B7" w:rsidRPr="00883FC0">
        <w:rPr>
          <w:rFonts w:ascii="Arial" w:hAnsi="Arial" w:cs="Arial"/>
          <w:b w:val="0"/>
          <w:iCs/>
          <w:color w:val="auto"/>
          <w:sz w:val="24"/>
          <w:szCs w:val="24"/>
          <w:u w:val="single"/>
          <w:lang w:val="en-GB"/>
        </w:rPr>
        <w:t xml:space="preserve"> (a) Mean relative frequencies of gastrointestinal nematode species</w:t>
      </w:r>
      <w:r w:rsidR="007C54F3" w:rsidRPr="00883FC0">
        <w:rPr>
          <w:rFonts w:ascii="Arial" w:hAnsi="Arial" w:cs="Arial"/>
          <w:b w:val="0"/>
          <w:iCs/>
          <w:color w:val="auto"/>
          <w:sz w:val="24"/>
          <w:szCs w:val="24"/>
          <w:u w:val="single"/>
          <w:lang w:val="en-GB"/>
        </w:rPr>
        <w:t>,</w:t>
      </w:r>
      <w:r w:rsidR="003E01B7" w:rsidRPr="00883FC0">
        <w:rPr>
          <w:rFonts w:ascii="Arial" w:hAnsi="Arial" w:cs="Arial"/>
          <w:b w:val="0"/>
          <w:iCs/>
          <w:color w:val="auto"/>
          <w:sz w:val="24"/>
          <w:szCs w:val="24"/>
          <w:u w:val="single"/>
          <w:lang w:val="en-GB"/>
        </w:rPr>
        <w:t xml:space="preserve"> (b) Shannon diversity of ITS2 ASVs and (c) prevalence and mean relative frequencies of β-tubulin isotype 1</w:t>
      </w:r>
      <w:r w:rsidR="00F12087" w:rsidRPr="00883FC0">
        <w:rPr>
          <w:rFonts w:ascii="Arial" w:hAnsi="Arial" w:cs="Arial"/>
          <w:b w:val="0"/>
          <w:iCs/>
          <w:color w:val="auto"/>
          <w:sz w:val="24"/>
          <w:szCs w:val="24"/>
          <w:lang w:val="en-GB"/>
        </w:rPr>
        <w:t>. Results and sample size (N</w:t>
      </w:r>
      <w:r w:rsidR="00F12087" w:rsidRPr="00883FC0">
        <w:rPr>
          <w:rFonts w:ascii="Arial" w:hAnsi="Arial" w:cs="Arial"/>
          <w:b w:val="0"/>
          <w:iCs/>
          <w:color w:val="auto"/>
          <w:sz w:val="24"/>
          <w:szCs w:val="24"/>
          <w:vertAlign w:val="subscript"/>
          <w:lang w:val="en-GB"/>
        </w:rPr>
        <w:t>ITS</w:t>
      </w:r>
      <w:r w:rsidR="00F12087" w:rsidRPr="00883FC0">
        <w:rPr>
          <w:rFonts w:ascii="Arial" w:hAnsi="Arial" w:cs="Arial"/>
          <w:b w:val="0"/>
          <w:iCs/>
          <w:color w:val="auto"/>
          <w:sz w:val="24"/>
          <w:szCs w:val="24"/>
          <w:lang w:val="en-GB"/>
        </w:rPr>
        <w:t xml:space="preserve"> and N</w:t>
      </w:r>
      <w:r w:rsidR="00F12087" w:rsidRPr="00883FC0">
        <w:rPr>
          <w:rFonts w:ascii="Arial" w:hAnsi="Arial" w:cs="Arial"/>
          <w:b w:val="0"/>
          <w:iCs/>
          <w:color w:val="auto"/>
          <w:sz w:val="24"/>
          <w:szCs w:val="24"/>
          <w:vertAlign w:val="subscript"/>
          <w:lang w:val="en-GB"/>
        </w:rPr>
        <w:t>β</w:t>
      </w:r>
      <w:r w:rsidR="00F12087" w:rsidRPr="00883FC0">
        <w:rPr>
          <w:rFonts w:ascii="Arial" w:hAnsi="Arial" w:cs="Arial"/>
          <w:b w:val="0"/>
          <w:iCs/>
          <w:color w:val="auto"/>
          <w:sz w:val="24"/>
          <w:szCs w:val="24"/>
          <w:lang w:val="en-GB"/>
        </w:rPr>
        <w:t>) are presented for each host species (sheep or ibex) in each</w:t>
      </w:r>
      <w:r w:rsidR="00AC7D32">
        <w:rPr>
          <w:rFonts w:ascii="Arial" w:hAnsi="Arial" w:cs="Arial"/>
          <w:b w:val="0"/>
          <w:iCs/>
          <w:color w:val="auto"/>
          <w:sz w:val="24"/>
          <w:szCs w:val="24"/>
          <w:lang w:val="en-GB"/>
        </w:rPr>
        <w:t xml:space="preserve"> </w:t>
      </w:r>
      <w:r w:rsidR="00AC7D32" w:rsidRPr="00AC7D32">
        <w:rPr>
          <w:rFonts w:ascii="Arial" w:hAnsi="Arial" w:cs="Arial"/>
          <w:b w:val="0"/>
          <w:iCs/>
          <w:color w:val="auto"/>
          <w:sz w:val="24"/>
          <w:szCs w:val="24"/>
          <w:highlight w:val="yellow"/>
          <w:lang w:val="en-GB"/>
        </w:rPr>
        <w:t>study</w:t>
      </w:r>
      <w:r w:rsidR="00F12087" w:rsidRPr="00883FC0">
        <w:rPr>
          <w:rFonts w:ascii="Arial" w:hAnsi="Arial" w:cs="Arial"/>
          <w:b w:val="0"/>
          <w:iCs/>
          <w:color w:val="auto"/>
          <w:sz w:val="24"/>
          <w:szCs w:val="24"/>
          <w:lang w:val="en-GB"/>
        </w:rPr>
        <w:t xml:space="preserve"> site (Cerces: Montagne de l’Oule and Aiguillette de </w:t>
      </w:r>
      <w:proofErr w:type="spellStart"/>
      <w:r w:rsidR="00F12087" w:rsidRPr="00883FC0">
        <w:rPr>
          <w:rFonts w:ascii="Arial" w:hAnsi="Arial" w:cs="Arial"/>
          <w:b w:val="0"/>
          <w:iCs/>
          <w:color w:val="auto"/>
          <w:sz w:val="24"/>
          <w:szCs w:val="24"/>
          <w:lang w:val="en-GB"/>
        </w:rPr>
        <w:t>Lauzet</w:t>
      </w:r>
      <w:proofErr w:type="spellEnd"/>
      <w:r w:rsidR="00F12087" w:rsidRPr="00883FC0">
        <w:rPr>
          <w:rFonts w:ascii="Arial" w:hAnsi="Arial" w:cs="Arial"/>
          <w:b w:val="0"/>
          <w:iCs/>
          <w:color w:val="auto"/>
          <w:sz w:val="24"/>
          <w:szCs w:val="24"/>
          <w:lang w:val="en-GB"/>
        </w:rPr>
        <w:t>; Champsaur and Belledonne</w:t>
      </w:r>
      <w:r w:rsidR="00301008" w:rsidRPr="00883FC0">
        <w:rPr>
          <w:rFonts w:ascii="Arial" w:hAnsi="Arial" w:cs="Arial"/>
          <w:b w:val="0"/>
          <w:iCs/>
          <w:color w:val="auto"/>
          <w:sz w:val="24"/>
          <w:szCs w:val="24"/>
          <w:lang w:val="en-GB"/>
        </w:rPr>
        <w:t xml:space="preserve">: </w:t>
      </w:r>
      <w:proofErr w:type="spellStart"/>
      <w:r w:rsidR="00301008" w:rsidRPr="00883FC0">
        <w:rPr>
          <w:rFonts w:ascii="Arial" w:hAnsi="Arial" w:cs="Arial"/>
          <w:b w:val="0"/>
          <w:iCs/>
          <w:color w:val="auto"/>
          <w:sz w:val="24"/>
          <w:szCs w:val="24"/>
          <w:lang w:val="en-GB"/>
        </w:rPr>
        <w:t>Ane</w:t>
      </w:r>
      <w:proofErr w:type="spellEnd"/>
      <w:r w:rsidR="00301008" w:rsidRPr="00883FC0">
        <w:rPr>
          <w:rFonts w:ascii="Arial" w:hAnsi="Arial" w:cs="Arial"/>
          <w:b w:val="0"/>
          <w:iCs/>
          <w:color w:val="auto"/>
          <w:sz w:val="24"/>
          <w:szCs w:val="24"/>
          <w:lang w:val="en-GB"/>
        </w:rPr>
        <w:t xml:space="preserve"> </w:t>
      </w:r>
      <w:proofErr w:type="spellStart"/>
      <w:r w:rsidR="00301008" w:rsidRPr="00883FC0">
        <w:rPr>
          <w:rFonts w:ascii="Arial" w:hAnsi="Arial" w:cs="Arial"/>
          <w:b w:val="0"/>
          <w:iCs/>
          <w:color w:val="auto"/>
          <w:sz w:val="24"/>
          <w:szCs w:val="24"/>
          <w:lang w:val="en-GB"/>
        </w:rPr>
        <w:t>Buyant</w:t>
      </w:r>
      <w:proofErr w:type="spellEnd"/>
      <w:r w:rsidR="00301008" w:rsidRPr="00883FC0">
        <w:rPr>
          <w:rFonts w:ascii="Arial" w:hAnsi="Arial" w:cs="Arial"/>
          <w:b w:val="0"/>
          <w:iCs/>
          <w:color w:val="auto"/>
          <w:sz w:val="24"/>
          <w:szCs w:val="24"/>
          <w:lang w:val="en-GB"/>
        </w:rPr>
        <w:t xml:space="preserve"> (AB) and La </w:t>
      </w:r>
      <w:proofErr w:type="spellStart"/>
      <w:r w:rsidR="00301008" w:rsidRPr="00883FC0">
        <w:rPr>
          <w:rFonts w:ascii="Arial" w:hAnsi="Arial" w:cs="Arial"/>
          <w:b w:val="0"/>
          <w:iCs/>
          <w:color w:val="auto"/>
          <w:sz w:val="24"/>
          <w:szCs w:val="24"/>
          <w:lang w:val="en-GB"/>
        </w:rPr>
        <w:t>Pesée</w:t>
      </w:r>
      <w:proofErr w:type="spellEnd"/>
      <w:r w:rsidR="00301008" w:rsidRPr="00883FC0">
        <w:rPr>
          <w:rFonts w:ascii="Arial" w:hAnsi="Arial" w:cs="Arial"/>
          <w:b w:val="0"/>
          <w:iCs/>
          <w:color w:val="auto"/>
          <w:sz w:val="24"/>
          <w:szCs w:val="24"/>
          <w:lang w:val="en-GB"/>
        </w:rPr>
        <w:t xml:space="preserve"> (LP))</w:t>
      </w:r>
      <w:r w:rsidR="00F12087" w:rsidRPr="00883FC0">
        <w:rPr>
          <w:rFonts w:ascii="Arial" w:hAnsi="Arial" w:cs="Arial"/>
          <w:b w:val="0"/>
          <w:iCs/>
          <w:color w:val="auto"/>
          <w:sz w:val="24"/>
          <w:szCs w:val="24"/>
          <w:lang w:val="en-GB"/>
        </w:rPr>
        <w:t xml:space="preserve">. </w:t>
      </w:r>
      <w:r w:rsidR="003E01B7" w:rsidRPr="00883FC0">
        <w:rPr>
          <w:rFonts w:ascii="Arial" w:hAnsi="Arial" w:cs="Arial"/>
          <w:b w:val="0"/>
          <w:iCs/>
          <w:color w:val="auto"/>
          <w:sz w:val="24"/>
          <w:szCs w:val="24"/>
          <w:lang w:val="en-GB"/>
        </w:rPr>
        <w:t>On panel (c), the size of the pie chart corresponds to the prevalence of the corresponding gastrointestinal nematode species in the population, and the size of each s</w:t>
      </w:r>
      <w:r w:rsidR="007C54F3" w:rsidRPr="00883FC0">
        <w:rPr>
          <w:rFonts w:ascii="Arial" w:hAnsi="Arial" w:cs="Arial"/>
          <w:b w:val="0"/>
          <w:iCs/>
          <w:color w:val="auto"/>
          <w:sz w:val="24"/>
          <w:szCs w:val="24"/>
          <w:lang w:val="en-GB"/>
        </w:rPr>
        <w:t>lice</w:t>
      </w:r>
      <w:r w:rsidR="003E01B7" w:rsidRPr="00883FC0">
        <w:rPr>
          <w:rFonts w:ascii="Arial" w:hAnsi="Arial" w:cs="Arial"/>
          <w:b w:val="0"/>
          <w:iCs/>
          <w:color w:val="auto"/>
          <w:sz w:val="24"/>
          <w:szCs w:val="24"/>
          <w:lang w:val="en-GB"/>
        </w:rPr>
        <w:t xml:space="preserve"> to the mean proportion of each allele.</w:t>
      </w:r>
      <w:bookmarkEnd w:id="34"/>
      <w:bookmarkEnd w:id="35"/>
    </w:p>
    <w:p w14:paraId="2DEB3C1E" w14:textId="77777777" w:rsidR="002E17E3" w:rsidRPr="00883FC0" w:rsidRDefault="002E17E3" w:rsidP="002E17E3">
      <w:pPr>
        <w:rPr>
          <w:lang w:val="en-GB"/>
        </w:rPr>
      </w:pPr>
    </w:p>
    <w:p w14:paraId="6EDBED07" w14:textId="77777777" w:rsidR="006463F4" w:rsidRPr="00883FC0" w:rsidRDefault="006463F4" w:rsidP="00A0712B">
      <w:pPr>
        <w:pStyle w:val="Titre3"/>
        <w:spacing w:before="0" w:line="360" w:lineRule="auto"/>
        <w:rPr>
          <w:rFonts w:ascii="Arial" w:hAnsi="Arial" w:cs="Arial"/>
          <w:i/>
          <w:color w:val="000000" w:themeColor="text1"/>
          <w:sz w:val="28"/>
          <w:szCs w:val="24"/>
          <w:lang w:val="en-US"/>
        </w:rPr>
      </w:pPr>
      <w:r w:rsidRPr="00883FC0">
        <w:rPr>
          <w:rFonts w:ascii="Arial" w:hAnsi="Arial" w:cs="Arial"/>
          <w:i/>
          <w:color w:val="000000" w:themeColor="text1"/>
          <w:sz w:val="28"/>
          <w:szCs w:val="24"/>
          <w:lang w:val="en-US"/>
        </w:rPr>
        <w:lastRenderedPageBreak/>
        <w:t>Anthelmintic resistance</w:t>
      </w:r>
      <w:bookmarkEnd w:id="36"/>
    </w:p>
    <w:p w14:paraId="06210CDF" w14:textId="77777777" w:rsidR="006463F4" w:rsidRPr="00883FC0" w:rsidRDefault="006463F4" w:rsidP="00A0712B">
      <w:pPr>
        <w:spacing w:after="0" w:line="360" w:lineRule="auto"/>
        <w:rPr>
          <w:rFonts w:ascii="Arial" w:hAnsi="Arial" w:cs="Arial"/>
          <w:lang w:val="en-US"/>
        </w:rPr>
      </w:pPr>
    </w:p>
    <w:p w14:paraId="42A465C3" w14:textId="2A4C04B6" w:rsidR="003E01B7" w:rsidRPr="00883FC0" w:rsidRDefault="003E01B7" w:rsidP="00A0712B">
      <w:pPr>
        <w:pStyle w:val="NormalWeb"/>
        <w:spacing w:before="0" w:beforeAutospacing="0" w:after="0" w:afterAutospacing="0" w:line="360" w:lineRule="auto"/>
        <w:ind w:firstLine="708"/>
        <w:jc w:val="both"/>
        <w:rPr>
          <w:rFonts w:ascii="Arial" w:hAnsi="Arial" w:cs="Arial"/>
          <w:color w:val="000000"/>
          <w:lang w:val="en-GB"/>
        </w:rPr>
      </w:pPr>
      <w:bookmarkStart w:id="37" w:name="_Ref128754332"/>
      <w:r w:rsidRPr="00883FC0">
        <w:rPr>
          <w:rFonts w:ascii="Arial" w:hAnsi="Arial" w:cs="Arial"/>
          <w:iCs/>
          <w:color w:val="000000"/>
          <w:lang w:val="en-GB"/>
        </w:rPr>
        <w:t>We found 43</w:t>
      </w:r>
      <w:r w:rsidR="00A36007" w:rsidRPr="00883FC0">
        <w:rPr>
          <w:rFonts w:ascii="Arial" w:hAnsi="Arial" w:cs="Arial"/>
          <w:iCs/>
          <w:color w:val="000000"/>
          <w:lang w:val="en-GB"/>
        </w:rPr>
        <w:t>3</w:t>
      </w:r>
      <w:r w:rsidRPr="00883FC0">
        <w:rPr>
          <w:rFonts w:ascii="Arial" w:hAnsi="Arial" w:cs="Arial"/>
          <w:iCs/>
          <w:color w:val="000000"/>
          <w:lang w:val="en-GB"/>
        </w:rPr>
        <w:t xml:space="preserve"> different </w:t>
      </w:r>
      <w:r w:rsidRPr="00883FC0">
        <w:rPr>
          <w:rFonts w:ascii="Arial" w:hAnsi="Arial" w:cs="Arial"/>
          <w:color w:val="000000"/>
          <w:lang w:val="en-GB"/>
        </w:rPr>
        <w:t>β-tubulin isotype 1 ASVs in 15</w:t>
      </w:r>
      <w:r w:rsidR="00A36007" w:rsidRPr="00883FC0">
        <w:rPr>
          <w:rFonts w:ascii="Arial" w:hAnsi="Arial" w:cs="Arial"/>
          <w:color w:val="000000"/>
          <w:lang w:val="en-GB"/>
        </w:rPr>
        <w:t>4</w:t>
      </w:r>
      <w:r w:rsidRPr="00883FC0">
        <w:rPr>
          <w:rFonts w:ascii="Arial" w:hAnsi="Arial" w:cs="Arial"/>
          <w:color w:val="000000"/>
          <w:lang w:val="en-GB"/>
        </w:rPr>
        <w:t xml:space="preserve"> </w:t>
      </w:r>
      <w:r w:rsidRPr="00883FC0">
        <w:rPr>
          <w:rFonts w:ascii="Arial" w:hAnsi="Arial" w:cs="Arial"/>
          <w:iCs/>
          <w:color w:val="000000"/>
          <w:lang w:val="en-GB"/>
        </w:rPr>
        <w:t>(n= 39 sheep and n=11</w:t>
      </w:r>
      <w:r w:rsidR="00A36007" w:rsidRPr="00883FC0">
        <w:rPr>
          <w:rFonts w:ascii="Arial" w:hAnsi="Arial" w:cs="Arial"/>
          <w:iCs/>
          <w:color w:val="000000"/>
          <w:lang w:val="en-GB"/>
        </w:rPr>
        <w:t>5</w:t>
      </w:r>
      <w:r w:rsidRPr="00883FC0">
        <w:rPr>
          <w:rFonts w:ascii="Arial" w:hAnsi="Arial" w:cs="Arial"/>
          <w:iCs/>
          <w:color w:val="000000"/>
          <w:lang w:val="en-GB"/>
        </w:rPr>
        <w:t xml:space="preserve"> ibex) out of 209 samples for which DNA was extracted. Among the 5 gastrointestinal nematode species targeted by</w:t>
      </w:r>
      <w:r w:rsidR="00BE06BB" w:rsidRPr="00883FC0">
        <w:rPr>
          <w:rFonts w:ascii="Arial" w:hAnsi="Arial" w:cs="Arial"/>
          <w:iCs/>
          <w:color w:val="000000"/>
          <w:lang w:val="en-GB"/>
        </w:rPr>
        <w:t xml:space="preserve"> specific</w:t>
      </w:r>
      <w:r w:rsidRPr="00883FC0">
        <w:rPr>
          <w:rFonts w:ascii="Arial" w:hAnsi="Arial" w:cs="Arial"/>
          <w:iCs/>
          <w:color w:val="000000"/>
          <w:lang w:val="en-GB"/>
        </w:rPr>
        <w:t xml:space="preserve"> primers, we </w:t>
      </w:r>
      <w:r w:rsidRPr="002D0E01">
        <w:rPr>
          <w:rFonts w:ascii="Arial" w:hAnsi="Arial" w:cs="Arial"/>
          <w:iCs/>
          <w:color w:val="000000"/>
          <w:highlight w:val="yellow"/>
          <w:lang w:val="en-GB"/>
        </w:rPr>
        <w:t>detected</w:t>
      </w:r>
      <w:r w:rsidRPr="00883FC0">
        <w:rPr>
          <w:rFonts w:ascii="Arial" w:hAnsi="Arial" w:cs="Arial"/>
          <w:color w:val="000000"/>
          <w:lang w:val="en-GB"/>
        </w:rPr>
        <w:t xml:space="preserve"> </w:t>
      </w:r>
      <w:proofErr w:type="spellStart"/>
      <w:r w:rsidR="00317797" w:rsidRPr="00883FC0">
        <w:rPr>
          <w:rFonts w:ascii="Arial" w:hAnsi="Arial" w:cs="Arial"/>
          <w:i/>
          <w:lang w:val="en-GB"/>
        </w:rPr>
        <w:t>Haemonchus</w:t>
      </w:r>
      <w:proofErr w:type="spellEnd"/>
      <w:r w:rsidRPr="00883FC0">
        <w:rPr>
          <w:rFonts w:ascii="Arial" w:hAnsi="Arial" w:cs="Arial"/>
          <w:i/>
          <w:color w:val="000000"/>
          <w:lang w:val="en-GB"/>
        </w:rPr>
        <w:t xml:space="preserve"> </w:t>
      </w:r>
      <w:proofErr w:type="spellStart"/>
      <w:r w:rsidRPr="00883FC0">
        <w:rPr>
          <w:rFonts w:ascii="Arial" w:hAnsi="Arial" w:cs="Arial"/>
          <w:i/>
          <w:color w:val="000000"/>
          <w:lang w:val="en-GB"/>
        </w:rPr>
        <w:t>contortus</w:t>
      </w:r>
      <w:proofErr w:type="spellEnd"/>
      <w:r w:rsidRPr="00883FC0">
        <w:rPr>
          <w:rFonts w:ascii="Arial" w:hAnsi="Arial" w:cs="Arial"/>
          <w:i/>
          <w:color w:val="000000"/>
          <w:lang w:val="en-GB"/>
        </w:rPr>
        <w:t xml:space="preserve"> </w:t>
      </w:r>
      <w:r w:rsidRPr="00883FC0">
        <w:rPr>
          <w:rFonts w:ascii="Arial" w:hAnsi="Arial" w:cs="Arial"/>
          <w:color w:val="000000"/>
          <w:lang w:val="en-GB"/>
        </w:rPr>
        <w:t>in 9</w:t>
      </w:r>
      <w:r w:rsidR="00DC4421" w:rsidRPr="00883FC0">
        <w:rPr>
          <w:rFonts w:ascii="Arial" w:hAnsi="Arial" w:cs="Arial"/>
          <w:color w:val="000000"/>
          <w:lang w:val="en-GB"/>
        </w:rPr>
        <w:t>6</w:t>
      </w:r>
      <w:r w:rsidRPr="00883FC0">
        <w:rPr>
          <w:rFonts w:ascii="Arial" w:hAnsi="Arial" w:cs="Arial"/>
          <w:color w:val="000000"/>
          <w:lang w:val="en-GB"/>
        </w:rPr>
        <w:t xml:space="preserve"> samples, </w:t>
      </w:r>
      <w:r w:rsidRPr="00883FC0">
        <w:rPr>
          <w:rFonts w:ascii="Arial" w:hAnsi="Arial" w:cs="Arial"/>
          <w:i/>
          <w:color w:val="000000"/>
          <w:lang w:val="en-GB"/>
        </w:rPr>
        <w:t xml:space="preserve">Teladorsagia circumcincta </w:t>
      </w:r>
      <w:r w:rsidRPr="00883FC0">
        <w:rPr>
          <w:rFonts w:ascii="Arial" w:hAnsi="Arial" w:cs="Arial"/>
          <w:color w:val="000000"/>
          <w:lang w:val="en-GB"/>
        </w:rPr>
        <w:t>in 14</w:t>
      </w:r>
      <w:r w:rsidR="00DC4421" w:rsidRPr="00883FC0">
        <w:rPr>
          <w:rFonts w:ascii="Arial" w:hAnsi="Arial" w:cs="Arial"/>
          <w:color w:val="000000"/>
          <w:lang w:val="en-GB"/>
        </w:rPr>
        <w:t>5</w:t>
      </w:r>
      <w:r w:rsidRPr="00883FC0">
        <w:rPr>
          <w:rFonts w:ascii="Arial" w:hAnsi="Arial" w:cs="Arial"/>
          <w:color w:val="000000"/>
          <w:lang w:val="en-GB"/>
        </w:rPr>
        <w:t xml:space="preserve"> samples, </w:t>
      </w:r>
      <w:r w:rsidRPr="00883FC0">
        <w:rPr>
          <w:rFonts w:ascii="Arial" w:hAnsi="Arial" w:cs="Arial"/>
          <w:i/>
          <w:color w:val="000000"/>
          <w:lang w:val="en-GB"/>
        </w:rPr>
        <w:t xml:space="preserve">Trichostrongylus axei </w:t>
      </w:r>
      <w:r w:rsidRPr="00883FC0">
        <w:rPr>
          <w:rFonts w:ascii="Arial" w:hAnsi="Arial" w:cs="Arial"/>
          <w:color w:val="000000"/>
          <w:lang w:val="en-GB"/>
        </w:rPr>
        <w:t>in 10</w:t>
      </w:r>
      <w:r w:rsidR="00DC4421" w:rsidRPr="00883FC0">
        <w:rPr>
          <w:rFonts w:ascii="Arial" w:hAnsi="Arial" w:cs="Arial"/>
          <w:color w:val="000000"/>
          <w:lang w:val="en-GB"/>
        </w:rPr>
        <w:t>4</w:t>
      </w:r>
      <w:r w:rsidRPr="00883FC0">
        <w:rPr>
          <w:rFonts w:ascii="Arial" w:hAnsi="Arial" w:cs="Arial"/>
          <w:color w:val="000000"/>
          <w:lang w:val="en-GB"/>
        </w:rPr>
        <w:t xml:space="preserve"> samples, </w:t>
      </w:r>
      <w:r w:rsidRPr="00883FC0">
        <w:rPr>
          <w:rFonts w:ascii="Arial" w:hAnsi="Arial" w:cs="Arial"/>
          <w:i/>
          <w:color w:val="000000"/>
          <w:lang w:val="en-GB"/>
        </w:rPr>
        <w:t xml:space="preserve">Trichostrongylus vitrinus </w:t>
      </w:r>
      <w:r w:rsidRPr="00883FC0">
        <w:rPr>
          <w:rFonts w:ascii="Arial" w:hAnsi="Arial" w:cs="Arial"/>
          <w:color w:val="000000"/>
          <w:lang w:val="en-GB"/>
        </w:rPr>
        <w:t>in 10</w:t>
      </w:r>
      <w:r w:rsidR="00DC4421" w:rsidRPr="00883FC0">
        <w:rPr>
          <w:rFonts w:ascii="Arial" w:hAnsi="Arial" w:cs="Arial"/>
          <w:color w:val="000000"/>
          <w:lang w:val="en-GB"/>
        </w:rPr>
        <w:t>7</w:t>
      </w:r>
      <w:r w:rsidRPr="00883FC0">
        <w:rPr>
          <w:rFonts w:ascii="Arial" w:hAnsi="Arial" w:cs="Arial"/>
          <w:color w:val="000000"/>
          <w:lang w:val="en-GB"/>
        </w:rPr>
        <w:t xml:space="preserve"> samples</w:t>
      </w:r>
      <w:r w:rsidR="00BE06BB" w:rsidRPr="00883FC0">
        <w:rPr>
          <w:rFonts w:ascii="Arial" w:hAnsi="Arial" w:cs="Arial"/>
          <w:color w:val="000000"/>
          <w:lang w:val="en-GB"/>
        </w:rPr>
        <w:t xml:space="preserve"> and </w:t>
      </w:r>
      <w:r w:rsidRPr="00883FC0">
        <w:rPr>
          <w:rFonts w:ascii="Arial" w:hAnsi="Arial" w:cs="Arial"/>
          <w:i/>
          <w:color w:val="000000"/>
          <w:lang w:val="en-GB"/>
        </w:rPr>
        <w:t xml:space="preserve">Trichostrongylus colubriformis </w:t>
      </w:r>
      <w:r w:rsidRPr="00883FC0">
        <w:rPr>
          <w:rFonts w:ascii="Arial" w:hAnsi="Arial" w:cs="Arial"/>
          <w:color w:val="000000"/>
          <w:lang w:val="en-GB"/>
        </w:rPr>
        <w:t>in 11</w:t>
      </w:r>
      <w:r w:rsidR="00DC4421" w:rsidRPr="00883FC0">
        <w:rPr>
          <w:rFonts w:ascii="Arial" w:hAnsi="Arial" w:cs="Arial"/>
          <w:color w:val="000000"/>
          <w:lang w:val="en-GB"/>
        </w:rPr>
        <w:t>2</w:t>
      </w:r>
      <w:r w:rsidRPr="00883FC0">
        <w:rPr>
          <w:rFonts w:ascii="Arial" w:hAnsi="Arial" w:cs="Arial"/>
          <w:color w:val="000000"/>
          <w:lang w:val="en-GB"/>
        </w:rPr>
        <w:t xml:space="preserve"> samples (</w:t>
      </w:r>
      <w:r w:rsidR="009B1CAD" w:rsidRPr="00883FC0">
        <w:rPr>
          <w:rFonts w:ascii="Arial" w:hAnsi="Arial" w:cs="Arial"/>
          <w:lang w:val="en-GB"/>
        </w:rPr>
        <w:t xml:space="preserve">Table </w:t>
      </w:r>
      <w:r w:rsidR="006F5D22" w:rsidRPr="00883FC0">
        <w:rPr>
          <w:rFonts w:ascii="Arial" w:hAnsi="Arial" w:cs="Arial"/>
          <w:lang w:val="en-GB"/>
        </w:rPr>
        <w:t>3</w:t>
      </w:r>
      <w:r w:rsidR="00D71677" w:rsidRPr="00883FC0">
        <w:rPr>
          <w:rFonts w:ascii="Arial" w:hAnsi="Arial" w:cs="Arial"/>
          <w:color w:val="000000"/>
          <w:lang w:val="en-GB"/>
        </w:rPr>
        <w:t>, Figure S</w:t>
      </w:r>
      <w:r w:rsidR="001B5371" w:rsidRPr="00883FC0">
        <w:rPr>
          <w:rFonts w:ascii="Arial" w:hAnsi="Arial" w:cs="Arial"/>
          <w:color w:val="000000"/>
          <w:lang w:val="en-GB"/>
        </w:rPr>
        <w:t>5</w:t>
      </w:r>
      <w:r w:rsidRPr="00883FC0">
        <w:rPr>
          <w:rFonts w:ascii="Arial" w:hAnsi="Arial" w:cs="Arial"/>
          <w:color w:val="000000"/>
          <w:lang w:val="en-GB"/>
        </w:rPr>
        <w:t xml:space="preserve">). No resistance mutation </w:t>
      </w:r>
      <w:r w:rsidR="00BE06BB" w:rsidRPr="00883FC0">
        <w:rPr>
          <w:rFonts w:ascii="Arial" w:hAnsi="Arial" w:cs="Arial"/>
          <w:color w:val="000000"/>
          <w:lang w:val="en-GB"/>
        </w:rPr>
        <w:t>was</w:t>
      </w:r>
      <w:r w:rsidRPr="00883FC0">
        <w:rPr>
          <w:rFonts w:ascii="Arial" w:hAnsi="Arial" w:cs="Arial"/>
          <w:color w:val="000000"/>
          <w:lang w:val="en-GB"/>
        </w:rPr>
        <w:t xml:space="preserve"> detected for </w:t>
      </w:r>
      <w:r w:rsidR="00317797" w:rsidRPr="00883FC0">
        <w:rPr>
          <w:rFonts w:ascii="Arial" w:hAnsi="Arial" w:cs="Arial"/>
          <w:i/>
          <w:color w:val="000000"/>
          <w:lang w:val="en-GB"/>
        </w:rPr>
        <w:t>Trichostrongylus</w:t>
      </w:r>
      <w:r w:rsidRPr="00883FC0">
        <w:rPr>
          <w:rFonts w:ascii="Arial" w:hAnsi="Arial" w:cs="Arial"/>
          <w:i/>
          <w:color w:val="000000"/>
          <w:lang w:val="en-GB"/>
        </w:rPr>
        <w:t xml:space="preserve"> vitrinus. </w:t>
      </w:r>
      <w:r w:rsidRPr="00883FC0">
        <w:rPr>
          <w:rFonts w:ascii="Arial" w:hAnsi="Arial" w:cs="Arial"/>
          <w:color w:val="000000"/>
          <w:lang w:val="en-GB"/>
        </w:rPr>
        <w:t xml:space="preserve">Therefore, </w:t>
      </w:r>
      <w:r w:rsidR="004946A7" w:rsidRPr="00883FC0">
        <w:rPr>
          <w:rFonts w:ascii="Arial" w:hAnsi="Arial" w:cs="Arial"/>
          <w:i/>
          <w:color w:val="000000"/>
          <w:lang w:val="en-GB"/>
        </w:rPr>
        <w:t>Trichostrongylus</w:t>
      </w:r>
      <w:r w:rsidRPr="00883FC0">
        <w:rPr>
          <w:rFonts w:ascii="Arial" w:hAnsi="Arial" w:cs="Arial"/>
          <w:i/>
          <w:color w:val="000000"/>
          <w:lang w:val="en-GB"/>
        </w:rPr>
        <w:t xml:space="preserve"> vitrinus</w:t>
      </w:r>
      <w:r w:rsidRPr="00883FC0">
        <w:rPr>
          <w:rFonts w:ascii="Arial" w:hAnsi="Arial" w:cs="Arial"/>
          <w:color w:val="000000"/>
          <w:lang w:val="en-GB"/>
        </w:rPr>
        <w:t xml:space="preserve"> was not included in the model explaining the relative abundance of resistant reads. </w:t>
      </w:r>
    </w:p>
    <w:p w14:paraId="1D957D06" w14:textId="116C834D" w:rsidR="00465377" w:rsidRPr="00883FC0" w:rsidRDefault="003E01B7" w:rsidP="00A0712B">
      <w:pPr>
        <w:pStyle w:val="NormalWeb"/>
        <w:spacing w:before="0" w:beforeAutospacing="0" w:after="0" w:afterAutospacing="0" w:line="360" w:lineRule="auto"/>
        <w:ind w:firstLine="708"/>
        <w:jc w:val="both"/>
        <w:rPr>
          <w:rFonts w:ascii="Arial" w:hAnsi="Arial" w:cs="Arial"/>
          <w:lang w:val="en-US"/>
        </w:rPr>
      </w:pPr>
      <w:r w:rsidRPr="00883FC0">
        <w:rPr>
          <w:rFonts w:ascii="Arial" w:hAnsi="Arial" w:cs="Arial"/>
          <w:color w:val="000000"/>
          <w:lang w:val="en-GB"/>
        </w:rPr>
        <w:t>Resistance mutations were highly frequent (93.5%; n=14</w:t>
      </w:r>
      <w:r w:rsidR="00E207F1" w:rsidRPr="00883FC0">
        <w:rPr>
          <w:rFonts w:ascii="Arial" w:hAnsi="Arial" w:cs="Arial"/>
          <w:color w:val="000000"/>
          <w:lang w:val="en-GB"/>
        </w:rPr>
        <w:t>4</w:t>
      </w:r>
      <w:r w:rsidRPr="00883FC0">
        <w:rPr>
          <w:rFonts w:ascii="Arial" w:hAnsi="Arial" w:cs="Arial"/>
          <w:color w:val="000000"/>
          <w:lang w:val="en-GB"/>
        </w:rPr>
        <w:t>/15</w:t>
      </w:r>
      <w:r w:rsidR="00EA157F" w:rsidRPr="00883FC0">
        <w:rPr>
          <w:rFonts w:ascii="Arial" w:hAnsi="Arial" w:cs="Arial"/>
          <w:color w:val="000000"/>
          <w:lang w:val="en-GB"/>
        </w:rPr>
        <w:t>4</w:t>
      </w:r>
      <w:r w:rsidRPr="00883FC0">
        <w:rPr>
          <w:rFonts w:ascii="Arial" w:hAnsi="Arial" w:cs="Arial"/>
          <w:color w:val="000000"/>
          <w:lang w:val="en-GB"/>
        </w:rPr>
        <w:t xml:space="preserve">) with only 10 ibex feces (3 from Belledonne and 7 from Champsaur) in which no resistant mutation </w:t>
      </w:r>
      <w:r w:rsidR="00BE06BB" w:rsidRPr="00883FC0">
        <w:rPr>
          <w:rFonts w:ascii="Arial" w:hAnsi="Arial" w:cs="Arial"/>
          <w:color w:val="000000"/>
          <w:lang w:val="en-GB"/>
        </w:rPr>
        <w:t>was</w:t>
      </w:r>
      <w:r w:rsidRPr="00883FC0">
        <w:rPr>
          <w:rFonts w:ascii="Arial" w:hAnsi="Arial" w:cs="Arial"/>
          <w:color w:val="000000"/>
          <w:lang w:val="en-GB"/>
        </w:rPr>
        <w:t xml:space="preserve"> detected.</w:t>
      </w:r>
      <w:r w:rsidR="00BE06BB" w:rsidRPr="00883FC0">
        <w:rPr>
          <w:rFonts w:ascii="Arial" w:hAnsi="Arial" w:cs="Arial"/>
          <w:color w:val="000000"/>
          <w:lang w:val="en-GB"/>
        </w:rPr>
        <w:t xml:space="preserve"> </w:t>
      </w:r>
      <w:r w:rsidRPr="00883FC0">
        <w:rPr>
          <w:rFonts w:ascii="Arial" w:hAnsi="Arial" w:cs="Arial"/>
          <w:iCs/>
          <w:color w:val="000000"/>
          <w:lang w:val="en-GB"/>
        </w:rPr>
        <w:t xml:space="preserve">Based on the best model for resistant RRA, the frequency of resistant nematodes depended on gastrointestinal nematode species and the interaction between host species and the study </w:t>
      </w:r>
      <w:r w:rsidRPr="00883FC0">
        <w:rPr>
          <w:rFonts w:ascii="Arial" w:hAnsi="Arial" w:cs="Arial"/>
          <w:iCs/>
          <w:lang w:val="en-GB"/>
        </w:rPr>
        <w:t>site (</w:t>
      </w:r>
      <w:r w:rsidR="00B63843" w:rsidRPr="00883FC0">
        <w:rPr>
          <w:rFonts w:ascii="Arial" w:hAnsi="Arial" w:cs="Arial"/>
          <w:iCs/>
          <w:lang w:val="en-GB"/>
        </w:rPr>
        <w:t xml:space="preserve">Table </w:t>
      </w:r>
      <w:r w:rsidR="006F5D22" w:rsidRPr="00883FC0">
        <w:rPr>
          <w:rFonts w:ascii="Arial" w:hAnsi="Arial" w:cs="Arial"/>
          <w:iCs/>
          <w:lang w:val="en-GB"/>
        </w:rPr>
        <w:t>5</w:t>
      </w:r>
      <w:r w:rsidRPr="00883FC0">
        <w:rPr>
          <w:rFonts w:ascii="Arial" w:hAnsi="Arial" w:cs="Arial"/>
          <w:iCs/>
          <w:lang w:val="en-GB"/>
        </w:rPr>
        <w:t>,</w:t>
      </w:r>
      <w:r w:rsidR="009B1CAD" w:rsidRPr="00883FC0">
        <w:rPr>
          <w:rFonts w:ascii="Arial" w:hAnsi="Arial" w:cs="Arial"/>
          <w:iCs/>
          <w:lang w:val="en-GB"/>
        </w:rPr>
        <w:t xml:space="preserve"> Table S</w:t>
      </w:r>
      <w:r w:rsidR="002951A9" w:rsidRPr="00883FC0">
        <w:rPr>
          <w:rFonts w:ascii="Arial" w:hAnsi="Arial" w:cs="Arial"/>
          <w:iCs/>
          <w:lang w:val="en-GB"/>
        </w:rPr>
        <w:t>5</w:t>
      </w:r>
      <w:r w:rsidRPr="00883FC0">
        <w:rPr>
          <w:rFonts w:ascii="Arial" w:hAnsi="Arial" w:cs="Arial"/>
          <w:iCs/>
          <w:lang w:val="en-GB"/>
        </w:rPr>
        <w:t xml:space="preserve">). </w:t>
      </w:r>
      <w:r w:rsidRPr="00883FC0">
        <w:rPr>
          <w:rFonts w:ascii="Arial" w:hAnsi="Arial" w:cs="Arial"/>
          <w:i/>
          <w:iCs/>
          <w:lang w:val="en-GB"/>
        </w:rPr>
        <w:t>Teladorsagia circumcincta</w:t>
      </w:r>
      <w:r w:rsidRPr="00883FC0">
        <w:rPr>
          <w:rFonts w:ascii="Arial" w:hAnsi="Arial" w:cs="Arial"/>
          <w:iCs/>
          <w:lang w:val="en-GB"/>
        </w:rPr>
        <w:t xml:space="preserve"> was the species with the lowest resistant RRA and </w:t>
      </w:r>
      <w:r w:rsidR="00BE06BB" w:rsidRPr="00883FC0">
        <w:rPr>
          <w:rFonts w:ascii="Arial" w:hAnsi="Arial" w:cs="Arial"/>
          <w:i/>
          <w:iCs/>
          <w:lang w:val="en-GB"/>
        </w:rPr>
        <w:t>Trichostrongylus colubriformis</w:t>
      </w:r>
      <w:r w:rsidR="00BE06BB" w:rsidRPr="00883FC0">
        <w:rPr>
          <w:rFonts w:ascii="Arial" w:hAnsi="Arial" w:cs="Arial"/>
          <w:iCs/>
          <w:lang w:val="en-GB"/>
        </w:rPr>
        <w:t xml:space="preserve"> had </w:t>
      </w:r>
      <w:r w:rsidRPr="00883FC0">
        <w:rPr>
          <w:rFonts w:ascii="Arial" w:hAnsi="Arial" w:cs="Arial"/>
          <w:iCs/>
          <w:lang w:val="en-GB"/>
        </w:rPr>
        <w:t>the high</w:t>
      </w:r>
      <w:r w:rsidR="00BE06BB" w:rsidRPr="00883FC0">
        <w:rPr>
          <w:rFonts w:ascii="Arial" w:hAnsi="Arial" w:cs="Arial"/>
          <w:iCs/>
          <w:lang w:val="en-GB"/>
        </w:rPr>
        <w:t>est</w:t>
      </w:r>
      <w:r w:rsidRPr="00883FC0">
        <w:rPr>
          <w:rFonts w:ascii="Arial" w:hAnsi="Arial" w:cs="Arial"/>
          <w:iCs/>
          <w:lang w:val="en-GB"/>
        </w:rPr>
        <w:t xml:space="preserve"> resistant RRA (</w:t>
      </w:r>
      <w:r w:rsidR="00B63843" w:rsidRPr="00883FC0">
        <w:rPr>
          <w:rFonts w:ascii="Arial" w:hAnsi="Arial" w:cs="Arial"/>
          <w:iCs/>
          <w:lang w:val="en-GB"/>
        </w:rPr>
        <w:t xml:space="preserve">Table </w:t>
      </w:r>
      <w:r w:rsidR="006F5D22" w:rsidRPr="00883FC0">
        <w:rPr>
          <w:rFonts w:ascii="Arial" w:hAnsi="Arial" w:cs="Arial"/>
          <w:iCs/>
          <w:lang w:val="en-GB"/>
        </w:rPr>
        <w:t>5</w:t>
      </w:r>
      <w:r w:rsidRPr="00883FC0">
        <w:rPr>
          <w:rFonts w:ascii="Arial" w:hAnsi="Arial" w:cs="Arial"/>
          <w:iCs/>
          <w:lang w:val="en-GB"/>
        </w:rPr>
        <w:t xml:space="preserve">). </w:t>
      </w:r>
      <w:r w:rsidRPr="00883FC0">
        <w:rPr>
          <w:rFonts w:ascii="Arial" w:hAnsi="Arial" w:cs="Arial"/>
          <w:lang w:val="en-GB"/>
        </w:rPr>
        <w:t xml:space="preserve">The mean observed RRA of resistant nematodes differed between </w:t>
      </w:r>
      <w:r w:rsidR="00BE06BB" w:rsidRPr="00883FC0">
        <w:rPr>
          <w:rFonts w:ascii="Arial" w:hAnsi="Arial" w:cs="Arial"/>
          <w:lang w:val="en-GB"/>
        </w:rPr>
        <w:t xml:space="preserve">gastrointestinal nematode </w:t>
      </w:r>
      <w:r w:rsidRPr="00883FC0">
        <w:rPr>
          <w:rFonts w:ascii="Arial" w:hAnsi="Arial" w:cs="Arial"/>
          <w:lang w:val="en-GB"/>
        </w:rPr>
        <w:t>species (</w:t>
      </w:r>
      <w:r w:rsidR="00317797" w:rsidRPr="00883FC0">
        <w:rPr>
          <w:rFonts w:ascii="Arial" w:hAnsi="Arial" w:cs="Arial"/>
          <w:i/>
          <w:lang w:val="en-GB"/>
        </w:rPr>
        <w:t>Haemonchus</w:t>
      </w:r>
      <w:r w:rsidRPr="00883FC0">
        <w:rPr>
          <w:rFonts w:ascii="Arial" w:hAnsi="Arial" w:cs="Arial"/>
          <w:i/>
          <w:lang w:val="en-GB"/>
        </w:rPr>
        <w:t xml:space="preserve"> contortus: </w:t>
      </w:r>
      <w:r w:rsidRPr="00883FC0">
        <w:rPr>
          <w:rFonts w:ascii="Arial" w:hAnsi="Arial" w:cs="Arial"/>
          <w:lang w:val="en-GB"/>
        </w:rPr>
        <w:t>19% [13;25]</w:t>
      </w:r>
      <w:r w:rsidRPr="00883FC0">
        <w:rPr>
          <w:rFonts w:ascii="Arial" w:hAnsi="Arial" w:cs="Arial"/>
          <w:vertAlign w:val="subscript"/>
          <w:lang w:val="en-GB"/>
        </w:rPr>
        <w:t>95CI</w:t>
      </w:r>
      <w:r w:rsidRPr="00883FC0">
        <w:rPr>
          <w:rFonts w:ascii="Arial" w:hAnsi="Arial" w:cs="Arial"/>
          <w:i/>
          <w:lang w:val="en-GB"/>
        </w:rPr>
        <w:t>; T</w:t>
      </w:r>
      <w:r w:rsidR="004946A7" w:rsidRPr="00883FC0">
        <w:rPr>
          <w:rFonts w:ascii="Arial" w:hAnsi="Arial" w:cs="Arial"/>
          <w:i/>
          <w:lang w:val="en-GB"/>
        </w:rPr>
        <w:t>eladorsagia</w:t>
      </w:r>
      <w:r w:rsidRPr="00883FC0">
        <w:rPr>
          <w:rFonts w:ascii="Arial" w:hAnsi="Arial" w:cs="Arial"/>
          <w:i/>
          <w:lang w:val="en-GB"/>
        </w:rPr>
        <w:t xml:space="preserve"> circumcincta: </w:t>
      </w:r>
      <w:r w:rsidRPr="00883FC0">
        <w:rPr>
          <w:rFonts w:ascii="Arial" w:hAnsi="Arial" w:cs="Arial"/>
          <w:lang w:val="en-GB"/>
        </w:rPr>
        <w:t>4% [3;6]</w:t>
      </w:r>
      <w:r w:rsidRPr="00883FC0">
        <w:rPr>
          <w:rFonts w:ascii="Arial" w:hAnsi="Arial" w:cs="Arial"/>
          <w:vertAlign w:val="subscript"/>
          <w:lang w:val="en-GB"/>
        </w:rPr>
        <w:t>95CI</w:t>
      </w:r>
      <w:r w:rsidRPr="00883FC0">
        <w:rPr>
          <w:rFonts w:ascii="Arial" w:hAnsi="Arial" w:cs="Arial"/>
          <w:lang w:val="en-GB"/>
        </w:rPr>
        <w:t>;</w:t>
      </w:r>
      <w:r w:rsidRPr="00883FC0">
        <w:rPr>
          <w:rFonts w:ascii="Arial" w:hAnsi="Arial" w:cs="Arial"/>
          <w:i/>
          <w:lang w:val="en-GB"/>
        </w:rPr>
        <w:t xml:space="preserve"> </w:t>
      </w:r>
      <w:r w:rsidR="004946A7" w:rsidRPr="00883FC0">
        <w:rPr>
          <w:rFonts w:ascii="Arial" w:hAnsi="Arial" w:cs="Arial"/>
          <w:i/>
          <w:color w:val="000000"/>
          <w:lang w:val="en-GB"/>
        </w:rPr>
        <w:t>Trichostrongylus</w:t>
      </w:r>
      <w:r w:rsidRPr="00883FC0">
        <w:rPr>
          <w:rFonts w:ascii="Arial" w:hAnsi="Arial" w:cs="Arial"/>
          <w:i/>
          <w:lang w:val="en-GB"/>
        </w:rPr>
        <w:t xml:space="preserve"> axei: </w:t>
      </w:r>
      <w:r w:rsidRPr="00883FC0">
        <w:rPr>
          <w:rFonts w:ascii="Arial" w:hAnsi="Arial" w:cs="Arial"/>
          <w:lang w:val="en-GB"/>
        </w:rPr>
        <w:t>70%</w:t>
      </w:r>
      <w:r w:rsidRPr="00883FC0">
        <w:rPr>
          <w:rFonts w:ascii="Arial" w:hAnsi="Arial" w:cs="Arial"/>
          <w:i/>
          <w:lang w:val="en-GB"/>
        </w:rPr>
        <w:t xml:space="preserve"> </w:t>
      </w:r>
      <w:r w:rsidRPr="00883FC0">
        <w:rPr>
          <w:rFonts w:ascii="Arial" w:hAnsi="Arial" w:cs="Arial"/>
          <w:lang w:val="en-GB"/>
        </w:rPr>
        <w:t>[63;78]</w:t>
      </w:r>
      <w:r w:rsidRPr="00883FC0">
        <w:rPr>
          <w:rFonts w:ascii="Arial" w:hAnsi="Arial" w:cs="Arial"/>
          <w:vertAlign w:val="subscript"/>
          <w:lang w:val="en-GB"/>
        </w:rPr>
        <w:t>95CI</w:t>
      </w:r>
      <w:r w:rsidRPr="00883FC0">
        <w:rPr>
          <w:rFonts w:ascii="Arial" w:hAnsi="Arial" w:cs="Arial"/>
          <w:lang w:val="en-GB"/>
        </w:rPr>
        <w:t>;</w:t>
      </w:r>
      <w:r w:rsidRPr="00883FC0">
        <w:rPr>
          <w:rFonts w:ascii="Arial" w:hAnsi="Arial" w:cs="Arial"/>
          <w:i/>
          <w:lang w:val="en-GB"/>
        </w:rPr>
        <w:t xml:space="preserve"> </w:t>
      </w:r>
      <w:r w:rsidR="004946A7" w:rsidRPr="00883FC0">
        <w:rPr>
          <w:rFonts w:ascii="Arial" w:hAnsi="Arial" w:cs="Arial"/>
          <w:i/>
          <w:color w:val="000000"/>
          <w:lang w:val="en-GB"/>
        </w:rPr>
        <w:t>Trichostrongylus</w:t>
      </w:r>
      <w:r w:rsidRPr="00883FC0">
        <w:rPr>
          <w:rFonts w:ascii="Arial" w:hAnsi="Arial" w:cs="Arial"/>
          <w:i/>
          <w:lang w:val="en-GB"/>
        </w:rPr>
        <w:t xml:space="preserve"> colubriformis: </w:t>
      </w:r>
      <w:r w:rsidRPr="00883FC0">
        <w:rPr>
          <w:rFonts w:ascii="Arial" w:hAnsi="Arial" w:cs="Arial"/>
          <w:lang w:val="en-GB"/>
        </w:rPr>
        <w:t>96% [93;99]</w:t>
      </w:r>
      <w:r w:rsidRPr="00883FC0">
        <w:rPr>
          <w:rFonts w:ascii="Arial" w:hAnsi="Arial" w:cs="Arial"/>
          <w:vertAlign w:val="subscript"/>
          <w:lang w:val="en-GB"/>
        </w:rPr>
        <w:t>95CI</w:t>
      </w:r>
      <w:r w:rsidRPr="00883FC0">
        <w:rPr>
          <w:rFonts w:ascii="Arial" w:hAnsi="Arial" w:cs="Arial"/>
          <w:lang w:val="en-GB"/>
        </w:rPr>
        <w:t xml:space="preserve">). </w:t>
      </w:r>
      <w:r w:rsidR="00BE06BB" w:rsidRPr="00883FC0">
        <w:rPr>
          <w:rFonts w:ascii="Arial" w:hAnsi="Arial" w:cs="Arial"/>
          <w:iCs/>
          <w:lang w:val="en-GB"/>
        </w:rPr>
        <w:t>R</w:t>
      </w:r>
      <w:r w:rsidRPr="00883FC0">
        <w:rPr>
          <w:rFonts w:ascii="Arial" w:hAnsi="Arial" w:cs="Arial"/>
          <w:iCs/>
          <w:lang w:val="en-GB"/>
        </w:rPr>
        <w:t xml:space="preserve">esistant RRA </w:t>
      </w:r>
      <w:r w:rsidR="00BE06BB" w:rsidRPr="00883FC0">
        <w:rPr>
          <w:rFonts w:ascii="Arial" w:hAnsi="Arial" w:cs="Arial"/>
          <w:iCs/>
          <w:lang w:val="en-GB"/>
        </w:rPr>
        <w:t>were</w:t>
      </w:r>
      <w:r w:rsidRPr="00883FC0">
        <w:rPr>
          <w:rFonts w:ascii="Arial" w:hAnsi="Arial" w:cs="Arial"/>
          <w:iCs/>
          <w:lang w:val="en-GB"/>
        </w:rPr>
        <w:t xml:space="preserve"> generally lower in ibex compared to sheep (β = -2.2</w:t>
      </w:r>
      <w:r w:rsidR="00944761" w:rsidRPr="00883FC0">
        <w:rPr>
          <w:rFonts w:ascii="Arial" w:hAnsi="Arial" w:cs="Arial"/>
          <w:iCs/>
          <w:lang w:val="en-GB"/>
        </w:rPr>
        <w:t>1</w:t>
      </w:r>
      <w:r w:rsidRPr="00883FC0">
        <w:rPr>
          <w:rFonts w:ascii="Arial" w:hAnsi="Arial" w:cs="Arial"/>
          <w:iCs/>
          <w:lang w:val="en-GB"/>
        </w:rPr>
        <w:t xml:space="preserve"> ± 0.66, </w:t>
      </w:r>
      <w:r w:rsidRPr="00883FC0">
        <w:rPr>
          <w:rFonts w:ascii="Arial" w:hAnsi="Arial" w:cs="Arial"/>
          <w:i/>
          <w:iCs/>
          <w:lang w:val="en-GB"/>
        </w:rPr>
        <w:t>P</w:t>
      </w:r>
      <w:r w:rsidRPr="00883FC0">
        <w:rPr>
          <w:rFonts w:ascii="Arial" w:hAnsi="Arial" w:cs="Arial"/>
          <w:iCs/>
          <w:lang w:val="en-GB"/>
        </w:rPr>
        <w:t xml:space="preserve"> &lt; 0.001)</w:t>
      </w:r>
      <w:r w:rsidR="00547B57" w:rsidRPr="00883FC0">
        <w:rPr>
          <w:rFonts w:ascii="Arial" w:hAnsi="Arial" w:cs="Arial"/>
          <w:iCs/>
          <w:lang w:val="en-GB"/>
        </w:rPr>
        <w:t>.</w:t>
      </w:r>
      <w:r w:rsidRPr="00883FC0">
        <w:rPr>
          <w:rFonts w:ascii="Arial" w:hAnsi="Arial" w:cs="Arial"/>
          <w:iCs/>
          <w:lang w:val="en-GB"/>
        </w:rPr>
        <w:t xml:space="preserve"> Resistant RRA were the lowest in the Aiguillette de </w:t>
      </w:r>
      <w:proofErr w:type="gramStart"/>
      <w:r w:rsidRPr="00883FC0">
        <w:rPr>
          <w:rFonts w:ascii="Arial" w:hAnsi="Arial" w:cs="Arial"/>
          <w:iCs/>
          <w:lang w:val="en-GB"/>
        </w:rPr>
        <w:t>Lauzet</w:t>
      </w:r>
      <w:proofErr w:type="gramEnd"/>
      <w:r w:rsidRPr="00883FC0">
        <w:rPr>
          <w:rFonts w:ascii="Arial" w:hAnsi="Arial" w:cs="Arial"/>
          <w:iCs/>
          <w:lang w:val="en-GB"/>
        </w:rPr>
        <w:t xml:space="preserve"> but this </w:t>
      </w:r>
      <w:r w:rsidR="00BE06BB" w:rsidRPr="00883FC0">
        <w:rPr>
          <w:rFonts w:ascii="Arial" w:hAnsi="Arial" w:cs="Arial"/>
          <w:iCs/>
          <w:lang w:val="en-GB"/>
        </w:rPr>
        <w:t>was</w:t>
      </w:r>
      <w:r w:rsidRPr="00883FC0">
        <w:rPr>
          <w:rFonts w:ascii="Arial" w:hAnsi="Arial" w:cs="Arial"/>
          <w:iCs/>
          <w:lang w:val="en-GB"/>
        </w:rPr>
        <w:t xml:space="preserve"> also the only site </w:t>
      </w:r>
      <w:r w:rsidRPr="002D0E01">
        <w:rPr>
          <w:rFonts w:ascii="Arial" w:hAnsi="Arial" w:cs="Arial"/>
          <w:iCs/>
          <w:highlight w:val="yellow"/>
          <w:lang w:val="en-GB"/>
        </w:rPr>
        <w:t>w</w:t>
      </w:r>
      <w:r w:rsidR="002D0E01" w:rsidRPr="002D0E01">
        <w:rPr>
          <w:rFonts w:ascii="Arial" w:hAnsi="Arial" w:cs="Arial"/>
          <w:iCs/>
          <w:highlight w:val="yellow"/>
          <w:lang w:val="en-GB"/>
        </w:rPr>
        <w:t>h</w:t>
      </w:r>
      <w:r w:rsidRPr="002D0E01">
        <w:rPr>
          <w:rFonts w:ascii="Arial" w:hAnsi="Arial" w:cs="Arial"/>
          <w:iCs/>
          <w:highlight w:val="yellow"/>
          <w:lang w:val="en-GB"/>
        </w:rPr>
        <w:t>ere</w:t>
      </w:r>
      <w:r w:rsidRPr="00883FC0">
        <w:rPr>
          <w:rFonts w:ascii="Arial" w:hAnsi="Arial" w:cs="Arial"/>
          <w:iCs/>
          <w:lang w:val="en-GB"/>
        </w:rPr>
        <w:t xml:space="preserve"> ibex had </w:t>
      </w:r>
      <w:r w:rsidR="00BE06BB" w:rsidRPr="00883FC0">
        <w:rPr>
          <w:rFonts w:ascii="Arial" w:hAnsi="Arial" w:cs="Arial"/>
          <w:iCs/>
          <w:lang w:val="en-GB"/>
        </w:rPr>
        <w:t xml:space="preserve">a </w:t>
      </w:r>
      <w:r w:rsidRPr="00883FC0">
        <w:rPr>
          <w:rFonts w:ascii="Arial" w:hAnsi="Arial" w:cs="Arial"/>
          <w:iCs/>
          <w:lang w:val="en-GB"/>
        </w:rPr>
        <w:t xml:space="preserve">significantly higher resistant RRA </w:t>
      </w:r>
      <w:r w:rsidR="00BE06BB" w:rsidRPr="00883FC0">
        <w:rPr>
          <w:rFonts w:ascii="Arial" w:hAnsi="Arial" w:cs="Arial"/>
          <w:iCs/>
          <w:lang w:val="en-GB"/>
        </w:rPr>
        <w:t xml:space="preserve">compared to </w:t>
      </w:r>
      <w:r w:rsidRPr="00883FC0">
        <w:rPr>
          <w:rFonts w:ascii="Arial" w:hAnsi="Arial" w:cs="Arial"/>
          <w:iCs/>
          <w:lang w:val="en-GB"/>
        </w:rPr>
        <w:t>sheep (</w:t>
      </w:r>
      <w:r w:rsidR="00B63843" w:rsidRPr="00883FC0">
        <w:rPr>
          <w:rFonts w:ascii="Arial" w:hAnsi="Arial" w:cs="Arial"/>
          <w:iCs/>
          <w:lang w:val="en-GB"/>
        </w:rPr>
        <w:t xml:space="preserve">Table </w:t>
      </w:r>
      <w:r w:rsidR="006F5D22" w:rsidRPr="00883FC0">
        <w:rPr>
          <w:rFonts w:ascii="Arial" w:hAnsi="Arial" w:cs="Arial"/>
          <w:iCs/>
          <w:lang w:val="en-GB"/>
        </w:rPr>
        <w:t>5</w:t>
      </w:r>
      <w:bookmarkStart w:id="38" w:name="_Hlk160380065"/>
      <w:r w:rsidRPr="00883FC0">
        <w:rPr>
          <w:rFonts w:ascii="Arial" w:hAnsi="Arial" w:cs="Arial"/>
          <w:iCs/>
          <w:lang w:val="en-GB"/>
        </w:rPr>
        <w:t>).</w:t>
      </w:r>
      <w:r w:rsidR="00547B57" w:rsidRPr="00883FC0">
        <w:rPr>
          <w:rFonts w:ascii="Arial" w:hAnsi="Arial" w:cs="Arial"/>
          <w:iCs/>
          <w:lang w:val="en-GB"/>
        </w:rPr>
        <w:t xml:space="preserve"> </w:t>
      </w:r>
      <w:bookmarkEnd w:id="38"/>
      <w:r w:rsidR="00465377" w:rsidRPr="00883FC0">
        <w:rPr>
          <w:rFonts w:ascii="Arial" w:hAnsi="Arial" w:cs="Arial"/>
          <w:lang w:val="en-US"/>
        </w:rPr>
        <w:t>We found no significative effect of ibex classes (males or females and kids/yearlings) on benzimidazole resistance frequencies (</w:t>
      </w:r>
      <w:r w:rsidR="00465377" w:rsidRPr="00883FC0">
        <w:rPr>
          <w:rFonts w:ascii="Arial" w:hAnsi="Arial" w:cs="Arial"/>
          <w:i/>
          <w:iCs/>
          <w:lang w:val="en-US"/>
        </w:rPr>
        <w:t>F</w:t>
      </w:r>
      <w:r w:rsidR="00465377" w:rsidRPr="00883FC0">
        <w:rPr>
          <w:rFonts w:ascii="Arial" w:hAnsi="Arial" w:cs="Arial"/>
          <w:vertAlign w:val="subscript"/>
          <w:lang w:val="en-US"/>
        </w:rPr>
        <w:t>1,49</w:t>
      </w:r>
      <w:r w:rsidR="00465377" w:rsidRPr="00883FC0">
        <w:rPr>
          <w:rFonts w:ascii="Arial" w:hAnsi="Arial" w:cs="Arial"/>
          <w:lang w:val="en-US"/>
        </w:rPr>
        <w:t xml:space="preserve">=0.03, P = 0.863, ANOVA test). </w:t>
      </w:r>
    </w:p>
    <w:p w14:paraId="4B6BFB6A" w14:textId="35D5AF6B" w:rsidR="003E01B7" w:rsidRPr="00883FC0" w:rsidRDefault="003E01B7" w:rsidP="00A0712B">
      <w:pPr>
        <w:pStyle w:val="NormalWeb"/>
        <w:spacing w:before="0" w:beforeAutospacing="0" w:after="0" w:afterAutospacing="0" w:line="360" w:lineRule="auto"/>
        <w:ind w:firstLine="708"/>
        <w:jc w:val="both"/>
        <w:rPr>
          <w:rFonts w:ascii="Arial" w:hAnsi="Arial" w:cs="Arial"/>
          <w:lang w:val="en-GB"/>
        </w:rPr>
      </w:pPr>
      <w:r w:rsidRPr="00883FC0">
        <w:rPr>
          <w:rFonts w:ascii="Arial" w:hAnsi="Arial" w:cs="Arial"/>
          <w:lang w:val="en-GB"/>
        </w:rPr>
        <w:t xml:space="preserve">The most frequent resistance mutation </w:t>
      </w:r>
      <w:r w:rsidR="00BE06BB" w:rsidRPr="00883FC0">
        <w:rPr>
          <w:rFonts w:ascii="Arial" w:hAnsi="Arial" w:cs="Arial"/>
          <w:lang w:val="en-GB"/>
        </w:rPr>
        <w:t>wa</w:t>
      </w:r>
      <w:r w:rsidRPr="00883FC0">
        <w:rPr>
          <w:rFonts w:ascii="Arial" w:hAnsi="Arial" w:cs="Arial"/>
          <w:lang w:val="en-GB"/>
        </w:rPr>
        <w:t>s the F200Y</w:t>
      </w:r>
      <w:r w:rsidR="00BE06BB" w:rsidRPr="00883FC0">
        <w:rPr>
          <w:rFonts w:ascii="Arial" w:hAnsi="Arial" w:cs="Arial"/>
          <w:lang w:val="en-GB"/>
        </w:rPr>
        <w:t>,</w:t>
      </w:r>
      <w:r w:rsidRPr="00883FC0">
        <w:rPr>
          <w:rFonts w:ascii="Arial" w:hAnsi="Arial" w:cs="Arial"/>
          <w:lang w:val="en-GB"/>
        </w:rPr>
        <w:t xml:space="preserve"> present in the 4 gastrointestinal nematode species and 14</w:t>
      </w:r>
      <w:r w:rsidR="00944761" w:rsidRPr="00883FC0">
        <w:rPr>
          <w:rFonts w:ascii="Arial" w:hAnsi="Arial" w:cs="Arial"/>
          <w:lang w:val="en-GB"/>
        </w:rPr>
        <w:t>1</w:t>
      </w:r>
      <w:r w:rsidRPr="00883FC0">
        <w:rPr>
          <w:rFonts w:ascii="Arial" w:hAnsi="Arial" w:cs="Arial"/>
          <w:lang w:val="en-GB"/>
        </w:rPr>
        <w:t xml:space="preserve"> </w:t>
      </w:r>
      <w:r w:rsidR="00BE06BB" w:rsidRPr="00883FC0">
        <w:rPr>
          <w:rFonts w:ascii="Arial" w:hAnsi="Arial" w:cs="Arial"/>
          <w:lang w:val="en-GB"/>
        </w:rPr>
        <w:t xml:space="preserve">fecal </w:t>
      </w:r>
      <w:r w:rsidRPr="00883FC0">
        <w:rPr>
          <w:rFonts w:ascii="Arial" w:hAnsi="Arial" w:cs="Arial"/>
          <w:lang w:val="en-GB"/>
        </w:rPr>
        <w:t>samples, follow</w:t>
      </w:r>
      <w:r w:rsidR="00BE06BB" w:rsidRPr="00883FC0">
        <w:rPr>
          <w:rFonts w:ascii="Arial" w:hAnsi="Arial" w:cs="Arial"/>
          <w:lang w:val="en-GB"/>
        </w:rPr>
        <w:t>ed</w:t>
      </w:r>
      <w:r w:rsidRPr="00883FC0">
        <w:rPr>
          <w:rFonts w:ascii="Arial" w:hAnsi="Arial" w:cs="Arial"/>
          <w:lang w:val="en-GB"/>
        </w:rPr>
        <w:t xml:space="preserve"> by the E198A (46 samples, 2 nematode species: </w:t>
      </w:r>
      <w:r w:rsidRPr="00883FC0">
        <w:rPr>
          <w:rFonts w:ascii="Arial" w:hAnsi="Arial" w:cs="Arial"/>
          <w:i/>
          <w:lang w:val="en-GB"/>
        </w:rPr>
        <w:t>H</w:t>
      </w:r>
      <w:r w:rsidR="004946A7" w:rsidRPr="00883FC0">
        <w:rPr>
          <w:rFonts w:ascii="Arial" w:hAnsi="Arial" w:cs="Arial"/>
          <w:i/>
          <w:lang w:val="en-GB"/>
        </w:rPr>
        <w:t>aemonchus</w:t>
      </w:r>
      <w:r w:rsidRPr="00883FC0">
        <w:rPr>
          <w:rFonts w:ascii="Arial" w:hAnsi="Arial" w:cs="Arial"/>
          <w:i/>
          <w:lang w:val="en-GB"/>
        </w:rPr>
        <w:t xml:space="preserve"> contortus</w:t>
      </w:r>
      <w:r w:rsidRPr="00883FC0">
        <w:rPr>
          <w:rFonts w:ascii="Arial" w:hAnsi="Arial" w:cs="Arial"/>
          <w:lang w:val="en-GB"/>
        </w:rPr>
        <w:t xml:space="preserve"> and </w:t>
      </w:r>
      <w:r w:rsidR="004946A7" w:rsidRPr="00883FC0">
        <w:rPr>
          <w:rFonts w:ascii="Arial" w:hAnsi="Arial" w:cs="Arial"/>
          <w:i/>
          <w:iCs/>
          <w:lang w:val="en-GB"/>
        </w:rPr>
        <w:t>Teladorsagia</w:t>
      </w:r>
      <w:r w:rsidRPr="00883FC0">
        <w:rPr>
          <w:rFonts w:ascii="Arial" w:hAnsi="Arial" w:cs="Arial"/>
          <w:i/>
          <w:lang w:val="en-GB"/>
        </w:rPr>
        <w:t xml:space="preserve"> circumcincta</w:t>
      </w:r>
      <w:r w:rsidRPr="00883FC0">
        <w:rPr>
          <w:rFonts w:ascii="Arial" w:hAnsi="Arial" w:cs="Arial"/>
          <w:lang w:val="en-GB"/>
        </w:rPr>
        <w:t xml:space="preserve">), the F167Y (17 samples, 2 nematode species: </w:t>
      </w:r>
      <w:r w:rsidRPr="00883FC0">
        <w:rPr>
          <w:rFonts w:ascii="Arial" w:hAnsi="Arial" w:cs="Arial"/>
          <w:i/>
          <w:lang w:val="en-GB"/>
        </w:rPr>
        <w:t>H</w:t>
      </w:r>
      <w:r w:rsidR="004946A7" w:rsidRPr="00883FC0">
        <w:rPr>
          <w:rFonts w:ascii="Arial" w:hAnsi="Arial" w:cs="Arial"/>
          <w:i/>
          <w:lang w:val="en-GB"/>
        </w:rPr>
        <w:t>aemonchus</w:t>
      </w:r>
      <w:r w:rsidRPr="00883FC0">
        <w:rPr>
          <w:rFonts w:ascii="Arial" w:hAnsi="Arial" w:cs="Arial"/>
          <w:i/>
          <w:lang w:val="en-GB"/>
        </w:rPr>
        <w:t xml:space="preserve"> contortus</w:t>
      </w:r>
      <w:r w:rsidRPr="00883FC0">
        <w:rPr>
          <w:rFonts w:ascii="Arial" w:hAnsi="Arial" w:cs="Arial"/>
          <w:lang w:val="en-GB"/>
        </w:rPr>
        <w:t xml:space="preserve"> and </w:t>
      </w:r>
      <w:r w:rsidR="004946A7" w:rsidRPr="00883FC0">
        <w:rPr>
          <w:rFonts w:ascii="Arial" w:hAnsi="Arial" w:cs="Arial"/>
          <w:i/>
          <w:iCs/>
          <w:lang w:val="en-GB"/>
        </w:rPr>
        <w:t>Teladorsagia</w:t>
      </w:r>
      <w:r w:rsidRPr="00883FC0">
        <w:rPr>
          <w:rFonts w:ascii="Arial" w:hAnsi="Arial" w:cs="Arial"/>
          <w:i/>
          <w:lang w:val="en-GB"/>
        </w:rPr>
        <w:t xml:space="preserve"> circumcincta</w:t>
      </w:r>
      <w:r w:rsidRPr="00883FC0">
        <w:rPr>
          <w:rFonts w:ascii="Arial" w:hAnsi="Arial" w:cs="Arial"/>
          <w:lang w:val="en-GB"/>
        </w:rPr>
        <w:t xml:space="preserve">), the E198L (7 samples, </w:t>
      </w:r>
      <w:r w:rsidR="004946A7" w:rsidRPr="00883FC0">
        <w:rPr>
          <w:rFonts w:ascii="Arial" w:hAnsi="Arial" w:cs="Arial"/>
          <w:i/>
          <w:iCs/>
          <w:lang w:val="en-GB"/>
        </w:rPr>
        <w:t>Teladorsagia</w:t>
      </w:r>
      <w:r w:rsidRPr="00883FC0">
        <w:rPr>
          <w:rFonts w:ascii="Arial" w:hAnsi="Arial" w:cs="Arial"/>
          <w:i/>
          <w:lang w:val="en-GB"/>
        </w:rPr>
        <w:t xml:space="preserve"> circumcincta</w:t>
      </w:r>
      <w:r w:rsidRPr="00883FC0">
        <w:rPr>
          <w:rFonts w:ascii="Arial" w:hAnsi="Arial" w:cs="Arial"/>
          <w:lang w:val="en-GB"/>
        </w:rPr>
        <w:t xml:space="preserve">) and the E198G (4 samples, </w:t>
      </w:r>
      <w:r w:rsidR="004946A7" w:rsidRPr="00883FC0">
        <w:rPr>
          <w:rFonts w:ascii="Arial" w:hAnsi="Arial" w:cs="Arial"/>
          <w:i/>
          <w:lang w:val="en-GB"/>
        </w:rPr>
        <w:t>Haemonchus</w:t>
      </w:r>
      <w:r w:rsidRPr="00883FC0">
        <w:rPr>
          <w:rFonts w:ascii="Arial" w:hAnsi="Arial" w:cs="Arial"/>
          <w:i/>
          <w:lang w:val="en-GB"/>
        </w:rPr>
        <w:t xml:space="preserve"> contortus</w:t>
      </w:r>
      <w:r w:rsidRPr="00883FC0">
        <w:rPr>
          <w:rFonts w:ascii="Arial" w:hAnsi="Arial" w:cs="Arial"/>
          <w:lang w:val="en-GB"/>
        </w:rPr>
        <w:t>) (</w:t>
      </w:r>
      <w:r w:rsidR="00577DBD" w:rsidRPr="00883FC0">
        <w:rPr>
          <w:rFonts w:ascii="Arial" w:hAnsi="Arial" w:cs="Arial"/>
          <w:lang w:val="en-GB"/>
        </w:rPr>
        <w:t>Figure 2</w:t>
      </w:r>
      <w:r w:rsidRPr="00883FC0">
        <w:rPr>
          <w:rFonts w:ascii="Arial" w:hAnsi="Arial" w:cs="Arial"/>
          <w:lang w:val="en-GB"/>
        </w:rPr>
        <w:t>c).</w:t>
      </w:r>
    </w:p>
    <w:p w14:paraId="61B774E2" w14:textId="039E3A80" w:rsidR="000D0899" w:rsidRPr="00883FC0" w:rsidRDefault="000D0899" w:rsidP="00A0712B">
      <w:pPr>
        <w:pStyle w:val="NormalWeb"/>
        <w:spacing w:before="0" w:beforeAutospacing="0" w:after="0" w:afterAutospacing="0" w:line="360" w:lineRule="auto"/>
        <w:ind w:firstLine="708"/>
        <w:jc w:val="both"/>
        <w:rPr>
          <w:rFonts w:ascii="Arial" w:hAnsi="Arial" w:cs="Arial"/>
          <w:lang w:val="en-GB"/>
        </w:rPr>
      </w:pPr>
    </w:p>
    <w:p w14:paraId="5A430CD6" w14:textId="77777777" w:rsidR="000D0899" w:rsidRPr="00883FC0" w:rsidRDefault="000D0899" w:rsidP="00A0712B">
      <w:pPr>
        <w:pStyle w:val="NormalWeb"/>
        <w:spacing w:before="0" w:beforeAutospacing="0" w:after="0" w:afterAutospacing="0" w:line="360" w:lineRule="auto"/>
        <w:ind w:firstLine="708"/>
        <w:jc w:val="both"/>
        <w:rPr>
          <w:rFonts w:ascii="Arial" w:hAnsi="Arial" w:cs="Arial"/>
          <w:lang w:val="en-GB"/>
        </w:rPr>
      </w:pPr>
    </w:p>
    <w:p w14:paraId="4F909653" w14:textId="46E6AF20" w:rsidR="003E01B7" w:rsidRPr="00883FC0" w:rsidRDefault="003E01B7" w:rsidP="00A0712B">
      <w:pPr>
        <w:pStyle w:val="Lgende"/>
        <w:spacing w:after="0" w:line="360" w:lineRule="auto"/>
        <w:jc w:val="both"/>
        <w:rPr>
          <w:rFonts w:ascii="Arial" w:hAnsi="Arial" w:cs="Arial"/>
          <w:b w:val="0"/>
          <w:iCs/>
          <w:color w:val="auto"/>
          <w:sz w:val="24"/>
        </w:rPr>
      </w:pPr>
      <w:bookmarkStart w:id="39" w:name="_Toc130062603"/>
      <w:bookmarkEnd w:id="37"/>
      <w:r w:rsidRPr="00883FC0">
        <w:rPr>
          <w:rFonts w:ascii="Arial" w:hAnsi="Arial" w:cs="Arial"/>
          <w:color w:val="auto"/>
          <w:sz w:val="24"/>
          <w:u w:val="single"/>
          <w:lang w:val="en-GB"/>
        </w:rPr>
        <w:lastRenderedPageBreak/>
        <w:t xml:space="preserve">Table </w:t>
      </w:r>
      <w:r w:rsidRPr="00883FC0">
        <w:rPr>
          <w:rFonts w:ascii="Arial" w:hAnsi="Arial" w:cs="Arial"/>
          <w:color w:val="auto"/>
          <w:sz w:val="24"/>
          <w:u w:val="single"/>
          <w:lang w:val="en-GB"/>
        </w:rPr>
        <w:fldChar w:fldCharType="begin"/>
      </w:r>
      <w:r w:rsidRPr="00883FC0">
        <w:rPr>
          <w:rFonts w:ascii="Arial" w:hAnsi="Arial" w:cs="Arial"/>
          <w:color w:val="auto"/>
          <w:sz w:val="24"/>
          <w:u w:val="single"/>
          <w:lang w:val="en-GB"/>
        </w:rPr>
        <w:instrText xml:space="preserve"> SEQ Tableau \* ARABIC </w:instrText>
      </w:r>
      <w:r w:rsidRPr="00883FC0">
        <w:rPr>
          <w:rFonts w:ascii="Arial" w:hAnsi="Arial" w:cs="Arial"/>
          <w:color w:val="auto"/>
          <w:sz w:val="24"/>
          <w:u w:val="single"/>
          <w:lang w:val="en-GB"/>
        </w:rPr>
        <w:fldChar w:fldCharType="separate"/>
      </w:r>
      <w:r w:rsidR="00870D7F">
        <w:rPr>
          <w:rFonts w:ascii="Arial" w:hAnsi="Arial" w:cs="Arial"/>
          <w:noProof/>
          <w:color w:val="auto"/>
          <w:sz w:val="24"/>
          <w:u w:val="single"/>
          <w:lang w:val="en-GB"/>
        </w:rPr>
        <w:t>5</w:t>
      </w:r>
      <w:r w:rsidRPr="00883FC0">
        <w:rPr>
          <w:rFonts w:ascii="Arial" w:hAnsi="Arial" w:cs="Arial"/>
          <w:color w:val="auto"/>
          <w:sz w:val="24"/>
          <w:u w:val="single"/>
          <w:lang w:val="en-GB"/>
        </w:rPr>
        <w:fldChar w:fldCharType="end"/>
      </w:r>
      <w:r w:rsidRPr="00883FC0">
        <w:rPr>
          <w:rFonts w:ascii="Arial" w:hAnsi="Arial" w:cs="Arial"/>
          <w:b w:val="0"/>
          <w:color w:val="auto"/>
          <w:sz w:val="24"/>
          <w:u w:val="single"/>
          <w:lang w:val="en-GB"/>
        </w:rPr>
        <w:t> </w:t>
      </w:r>
      <w:r w:rsidRPr="00883FC0">
        <w:rPr>
          <w:rFonts w:ascii="Arial" w:hAnsi="Arial" w:cs="Arial"/>
          <w:b w:val="0"/>
          <w:iCs/>
          <w:color w:val="auto"/>
          <w:sz w:val="24"/>
          <w:u w:val="single"/>
          <w:lang w:val="en-GB"/>
        </w:rPr>
        <w:t>: Parameter estimates for the best generalized linear model explaining the resistant reads relative abundance (RRA) in ibex and sheep.</w:t>
      </w:r>
      <w:r w:rsidRPr="00883FC0">
        <w:rPr>
          <w:rFonts w:ascii="Arial" w:hAnsi="Arial" w:cs="Arial"/>
          <w:b w:val="0"/>
          <w:iCs/>
          <w:color w:val="auto"/>
          <w:sz w:val="24"/>
          <w:lang w:val="en-GB"/>
        </w:rPr>
        <w:t xml:space="preserve"> The effect of host species (sheep as reference), study sites (Belledonne as reference), and their interaction, in addition to the nematode species (</w:t>
      </w:r>
      <w:r w:rsidRPr="00883FC0">
        <w:rPr>
          <w:rFonts w:ascii="Arial" w:hAnsi="Arial" w:cs="Arial"/>
          <w:b w:val="0"/>
          <w:i/>
          <w:color w:val="auto"/>
          <w:sz w:val="24"/>
          <w:lang w:val="en-GB"/>
        </w:rPr>
        <w:t>Teladorsagia circumcincta</w:t>
      </w:r>
      <w:r w:rsidRPr="00883FC0">
        <w:rPr>
          <w:rFonts w:ascii="Arial" w:hAnsi="Arial" w:cs="Arial"/>
          <w:b w:val="0"/>
          <w:iCs/>
          <w:color w:val="auto"/>
          <w:sz w:val="24"/>
          <w:lang w:val="en-GB"/>
        </w:rPr>
        <w:t xml:space="preserve"> as reference) are reported. Parameter estimates with standard error (SE) are reported with the corresponding </w:t>
      </w:r>
      <w:r w:rsidRPr="00883FC0">
        <w:rPr>
          <w:rFonts w:ascii="Arial" w:hAnsi="Arial" w:cs="Arial"/>
          <w:b w:val="0"/>
          <w:i/>
          <w:iCs/>
          <w:color w:val="auto"/>
          <w:sz w:val="24"/>
          <w:lang w:val="en-GB"/>
        </w:rPr>
        <w:t>z-value (z</w:t>
      </w:r>
      <w:r w:rsidRPr="00883FC0">
        <w:rPr>
          <w:rFonts w:ascii="Arial" w:hAnsi="Arial" w:cs="Arial"/>
          <w:b w:val="0"/>
          <w:iCs/>
          <w:color w:val="auto"/>
          <w:sz w:val="24"/>
          <w:lang w:val="en-GB"/>
        </w:rPr>
        <w:t>-</w:t>
      </w:r>
      <w:proofErr w:type="spellStart"/>
      <w:r w:rsidRPr="00883FC0">
        <w:rPr>
          <w:rFonts w:ascii="Arial" w:hAnsi="Arial" w:cs="Arial"/>
          <w:b w:val="0"/>
          <w:iCs/>
          <w:color w:val="auto"/>
          <w:sz w:val="24"/>
          <w:lang w:val="en-GB"/>
        </w:rPr>
        <w:t>val</w:t>
      </w:r>
      <w:proofErr w:type="spellEnd"/>
      <w:r w:rsidRPr="00883FC0">
        <w:rPr>
          <w:rFonts w:ascii="Arial" w:hAnsi="Arial" w:cs="Arial"/>
          <w:b w:val="0"/>
          <w:i/>
          <w:iCs/>
          <w:color w:val="auto"/>
          <w:sz w:val="24"/>
          <w:lang w:val="en-GB"/>
        </w:rPr>
        <w:t>)</w:t>
      </w:r>
      <w:r w:rsidRPr="00883FC0">
        <w:rPr>
          <w:rFonts w:ascii="Arial" w:hAnsi="Arial" w:cs="Arial"/>
          <w:b w:val="0"/>
          <w:iCs/>
          <w:color w:val="auto"/>
          <w:sz w:val="24"/>
          <w:lang w:val="en-GB"/>
        </w:rPr>
        <w:t xml:space="preserve"> and </w:t>
      </w:r>
      <w:r w:rsidRPr="00883FC0">
        <w:rPr>
          <w:rFonts w:ascii="Arial" w:hAnsi="Arial" w:cs="Arial"/>
          <w:b w:val="0"/>
          <w:i/>
          <w:iCs/>
          <w:color w:val="auto"/>
          <w:sz w:val="24"/>
          <w:lang w:val="en-GB"/>
        </w:rPr>
        <w:t>p value</w:t>
      </w:r>
      <w:r w:rsidRPr="00883FC0">
        <w:rPr>
          <w:rFonts w:ascii="Arial" w:hAnsi="Arial" w:cs="Arial"/>
          <w:b w:val="0"/>
          <w:iCs/>
          <w:color w:val="auto"/>
          <w:sz w:val="24"/>
          <w:lang w:val="en-GB"/>
        </w:rPr>
        <w:t xml:space="preserve"> (</w:t>
      </w:r>
      <w:r w:rsidRPr="00883FC0">
        <w:rPr>
          <w:rFonts w:ascii="Arial" w:hAnsi="Arial" w:cs="Arial"/>
          <w:b w:val="0"/>
          <w:i/>
          <w:iCs/>
          <w:color w:val="auto"/>
          <w:sz w:val="24"/>
          <w:lang w:val="en-GB"/>
        </w:rPr>
        <w:t>P</w:t>
      </w:r>
      <w:r w:rsidRPr="00883FC0">
        <w:rPr>
          <w:rFonts w:ascii="Arial" w:hAnsi="Arial" w:cs="Arial"/>
          <w:b w:val="0"/>
          <w:iCs/>
          <w:color w:val="auto"/>
          <w:sz w:val="24"/>
          <w:lang w:val="en-GB"/>
        </w:rPr>
        <w:t xml:space="preserve">). </w:t>
      </w:r>
      <w:r w:rsidRPr="00883FC0">
        <w:rPr>
          <w:rFonts w:ascii="Arial" w:hAnsi="Arial" w:cs="Arial"/>
          <w:b w:val="0"/>
          <w:iCs/>
          <w:color w:val="auto"/>
          <w:sz w:val="24"/>
        </w:rPr>
        <w:t xml:space="preserve">AL: Aiguillette de Lauzet; MO: Montagne de l’Oule; </w:t>
      </w:r>
      <w:proofErr w:type="spellStart"/>
      <w:r w:rsidRPr="00883FC0">
        <w:rPr>
          <w:rFonts w:ascii="Arial" w:hAnsi="Arial" w:cs="Arial"/>
          <w:b w:val="0"/>
          <w:iCs/>
          <w:color w:val="auto"/>
          <w:sz w:val="24"/>
        </w:rPr>
        <w:t>Ch</w:t>
      </w:r>
      <w:proofErr w:type="spellEnd"/>
      <w:r w:rsidRPr="00883FC0">
        <w:rPr>
          <w:rFonts w:ascii="Arial" w:hAnsi="Arial" w:cs="Arial"/>
          <w:b w:val="0"/>
          <w:iCs/>
          <w:color w:val="auto"/>
          <w:sz w:val="24"/>
        </w:rPr>
        <w:t xml:space="preserve">: Champsaur; </w:t>
      </w:r>
      <w:proofErr w:type="spellStart"/>
      <w:r w:rsidRPr="00883FC0">
        <w:rPr>
          <w:rFonts w:ascii="Arial" w:hAnsi="Arial" w:cs="Arial"/>
          <w:b w:val="0"/>
          <w:iCs/>
          <w:color w:val="auto"/>
          <w:sz w:val="24"/>
        </w:rPr>
        <w:t>Hc</w:t>
      </w:r>
      <w:proofErr w:type="spellEnd"/>
      <w:r w:rsidRPr="00883FC0">
        <w:rPr>
          <w:rFonts w:ascii="Arial" w:hAnsi="Arial" w:cs="Arial"/>
          <w:b w:val="0"/>
          <w:iCs/>
          <w:color w:val="auto"/>
          <w:sz w:val="24"/>
        </w:rPr>
        <w:t xml:space="preserve"> : </w:t>
      </w:r>
      <w:proofErr w:type="spellStart"/>
      <w:r w:rsidRPr="00883FC0">
        <w:rPr>
          <w:rFonts w:ascii="Arial" w:hAnsi="Arial" w:cs="Arial"/>
          <w:b w:val="0"/>
          <w:i/>
          <w:iCs/>
          <w:color w:val="auto"/>
          <w:sz w:val="24"/>
        </w:rPr>
        <w:t>Haemonchus</w:t>
      </w:r>
      <w:proofErr w:type="spellEnd"/>
      <w:r w:rsidRPr="00883FC0">
        <w:rPr>
          <w:rFonts w:ascii="Arial" w:hAnsi="Arial" w:cs="Arial"/>
          <w:b w:val="0"/>
          <w:i/>
          <w:iCs/>
          <w:color w:val="auto"/>
          <w:sz w:val="24"/>
        </w:rPr>
        <w:t xml:space="preserve"> </w:t>
      </w:r>
      <w:proofErr w:type="spellStart"/>
      <w:r w:rsidRPr="00883FC0">
        <w:rPr>
          <w:rFonts w:ascii="Arial" w:hAnsi="Arial" w:cs="Arial"/>
          <w:b w:val="0"/>
          <w:i/>
          <w:iCs/>
          <w:color w:val="auto"/>
          <w:sz w:val="24"/>
        </w:rPr>
        <w:t>contortus</w:t>
      </w:r>
      <w:proofErr w:type="spellEnd"/>
      <w:r w:rsidRPr="00883FC0">
        <w:rPr>
          <w:rFonts w:ascii="Arial" w:hAnsi="Arial" w:cs="Arial"/>
          <w:b w:val="0"/>
          <w:iCs/>
          <w:color w:val="auto"/>
          <w:sz w:val="24"/>
        </w:rPr>
        <w:t xml:space="preserve">; Ta: </w:t>
      </w:r>
      <w:proofErr w:type="spellStart"/>
      <w:r w:rsidRPr="00883FC0">
        <w:rPr>
          <w:rFonts w:ascii="Arial" w:hAnsi="Arial" w:cs="Arial"/>
          <w:b w:val="0"/>
          <w:i/>
          <w:iCs/>
          <w:color w:val="auto"/>
          <w:sz w:val="24"/>
        </w:rPr>
        <w:t>Trichostrongylus</w:t>
      </w:r>
      <w:proofErr w:type="spellEnd"/>
      <w:r w:rsidRPr="00883FC0">
        <w:rPr>
          <w:rFonts w:ascii="Arial" w:hAnsi="Arial" w:cs="Arial"/>
          <w:b w:val="0"/>
          <w:i/>
          <w:iCs/>
          <w:color w:val="auto"/>
          <w:sz w:val="24"/>
        </w:rPr>
        <w:t xml:space="preserve"> </w:t>
      </w:r>
      <w:proofErr w:type="spellStart"/>
      <w:r w:rsidRPr="00883FC0">
        <w:rPr>
          <w:rFonts w:ascii="Arial" w:hAnsi="Arial" w:cs="Arial"/>
          <w:b w:val="0"/>
          <w:i/>
          <w:iCs/>
          <w:color w:val="auto"/>
          <w:sz w:val="24"/>
        </w:rPr>
        <w:t>axei</w:t>
      </w:r>
      <w:proofErr w:type="spellEnd"/>
      <w:r w:rsidRPr="00883FC0">
        <w:rPr>
          <w:rFonts w:ascii="Arial" w:hAnsi="Arial" w:cs="Arial"/>
          <w:b w:val="0"/>
          <w:iCs/>
          <w:color w:val="auto"/>
          <w:sz w:val="24"/>
        </w:rPr>
        <w:t xml:space="preserve">; </w:t>
      </w:r>
      <w:proofErr w:type="spellStart"/>
      <w:r w:rsidRPr="00883FC0">
        <w:rPr>
          <w:rFonts w:ascii="Arial" w:hAnsi="Arial" w:cs="Arial"/>
          <w:b w:val="0"/>
          <w:iCs/>
          <w:color w:val="auto"/>
          <w:sz w:val="24"/>
        </w:rPr>
        <w:t>Tcol</w:t>
      </w:r>
      <w:proofErr w:type="spellEnd"/>
      <w:r w:rsidRPr="00883FC0">
        <w:rPr>
          <w:rFonts w:ascii="Arial" w:hAnsi="Arial" w:cs="Arial"/>
          <w:b w:val="0"/>
          <w:iCs/>
          <w:color w:val="auto"/>
          <w:sz w:val="24"/>
        </w:rPr>
        <w:t xml:space="preserve">: </w:t>
      </w:r>
      <w:proofErr w:type="spellStart"/>
      <w:r w:rsidRPr="00883FC0">
        <w:rPr>
          <w:rFonts w:ascii="Arial" w:hAnsi="Arial" w:cs="Arial"/>
          <w:b w:val="0"/>
          <w:i/>
          <w:iCs/>
          <w:color w:val="auto"/>
          <w:sz w:val="24"/>
        </w:rPr>
        <w:t>Trichostrongylus</w:t>
      </w:r>
      <w:proofErr w:type="spellEnd"/>
      <w:r w:rsidRPr="00883FC0">
        <w:rPr>
          <w:rFonts w:ascii="Arial" w:hAnsi="Arial" w:cs="Arial"/>
          <w:b w:val="0"/>
          <w:i/>
          <w:iCs/>
          <w:color w:val="auto"/>
          <w:sz w:val="24"/>
        </w:rPr>
        <w:t xml:space="preserve"> </w:t>
      </w:r>
      <w:proofErr w:type="spellStart"/>
      <w:r w:rsidRPr="00883FC0">
        <w:rPr>
          <w:rFonts w:ascii="Arial" w:hAnsi="Arial" w:cs="Arial"/>
          <w:b w:val="0"/>
          <w:i/>
          <w:iCs/>
          <w:color w:val="auto"/>
          <w:sz w:val="24"/>
        </w:rPr>
        <w:t>colubriformis</w:t>
      </w:r>
      <w:proofErr w:type="spellEnd"/>
      <w:r w:rsidRPr="00883FC0">
        <w:rPr>
          <w:rFonts w:ascii="Arial" w:hAnsi="Arial" w:cs="Arial"/>
          <w:b w:val="0"/>
          <w:iCs/>
          <w:color w:val="auto"/>
          <w:sz w:val="24"/>
        </w:rPr>
        <w:t>.</w:t>
      </w:r>
      <w:bookmarkEnd w:id="39"/>
    </w:p>
    <w:tbl>
      <w:tblPr>
        <w:tblStyle w:val="Tableausimple2"/>
        <w:tblW w:w="0" w:type="auto"/>
        <w:tblLook w:val="04A0" w:firstRow="1" w:lastRow="0" w:firstColumn="1" w:lastColumn="0" w:noHBand="0" w:noVBand="1"/>
      </w:tblPr>
      <w:tblGrid>
        <w:gridCol w:w="3544"/>
        <w:gridCol w:w="2268"/>
        <w:gridCol w:w="1460"/>
        <w:gridCol w:w="950"/>
        <w:gridCol w:w="850"/>
      </w:tblGrid>
      <w:tr w:rsidR="006463F4" w:rsidRPr="00883FC0" w14:paraId="11D131C5" w14:textId="77777777" w:rsidTr="00B82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tcPr>
          <w:p w14:paraId="2A9B1D22"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lang w:val="en-US"/>
              </w:rPr>
            </w:pPr>
            <w:r w:rsidRPr="00883FC0">
              <w:rPr>
                <w:rFonts w:ascii="Arial" w:hAnsi="Arial" w:cs="Arial"/>
                <w:b w:val="0"/>
                <w:iCs/>
                <w:color w:val="000000"/>
                <w:sz w:val="20"/>
                <w:lang w:val="en-US"/>
              </w:rPr>
              <w:t>Best model selected</w:t>
            </w:r>
          </w:p>
        </w:tc>
        <w:tc>
          <w:tcPr>
            <w:tcW w:w="2268" w:type="dxa"/>
            <w:tcBorders>
              <w:bottom w:val="single" w:sz="4" w:space="0" w:color="auto"/>
            </w:tcBorders>
          </w:tcPr>
          <w:p w14:paraId="1BB9616B"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lang w:val="en-US"/>
              </w:rPr>
            </w:pPr>
            <w:r w:rsidRPr="00883FC0">
              <w:rPr>
                <w:rFonts w:ascii="Arial" w:hAnsi="Arial" w:cs="Arial"/>
                <w:b w:val="0"/>
                <w:iCs/>
                <w:color w:val="000000"/>
                <w:sz w:val="20"/>
                <w:lang w:val="en-US"/>
              </w:rPr>
              <w:t>Variables</w:t>
            </w:r>
          </w:p>
        </w:tc>
        <w:tc>
          <w:tcPr>
            <w:tcW w:w="1460" w:type="dxa"/>
            <w:tcBorders>
              <w:bottom w:val="single" w:sz="4" w:space="0" w:color="auto"/>
            </w:tcBorders>
          </w:tcPr>
          <w:p w14:paraId="31DB04F6"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lang w:val="en-US"/>
              </w:rPr>
            </w:pPr>
            <w:r w:rsidRPr="00883FC0">
              <w:rPr>
                <w:rFonts w:ascii="Arial" w:hAnsi="Arial" w:cs="Arial"/>
                <w:b w:val="0"/>
                <w:iCs/>
                <w:color w:val="000000"/>
                <w:sz w:val="20"/>
                <w:lang w:val="en-US"/>
              </w:rPr>
              <w:t>Parameter estimate ± SE</w:t>
            </w:r>
          </w:p>
        </w:tc>
        <w:tc>
          <w:tcPr>
            <w:tcW w:w="950" w:type="dxa"/>
            <w:tcBorders>
              <w:bottom w:val="single" w:sz="4" w:space="0" w:color="auto"/>
            </w:tcBorders>
          </w:tcPr>
          <w:p w14:paraId="3A5A28F6"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color w:val="000000"/>
                <w:sz w:val="20"/>
                <w:lang w:val="en-US"/>
              </w:rPr>
            </w:pPr>
            <w:r w:rsidRPr="00883FC0">
              <w:rPr>
                <w:rFonts w:ascii="Arial" w:hAnsi="Arial" w:cs="Arial"/>
                <w:b w:val="0"/>
                <w:iCs/>
                <w:color w:val="000000"/>
                <w:sz w:val="20"/>
                <w:lang w:val="en-US"/>
              </w:rPr>
              <w:t>z</w:t>
            </w:r>
            <w:r w:rsidRPr="00883FC0">
              <w:rPr>
                <w:rFonts w:ascii="Cambria Math" w:hAnsi="Cambria Math" w:cs="Cambria Math"/>
                <w:b w:val="0"/>
                <w:iCs/>
                <w:color w:val="000000"/>
                <w:sz w:val="20"/>
                <w:lang w:val="en-US"/>
              </w:rPr>
              <w:t>‑</w:t>
            </w:r>
            <w:proofErr w:type="spellStart"/>
            <w:r w:rsidRPr="00883FC0">
              <w:rPr>
                <w:rFonts w:ascii="Arial" w:hAnsi="Arial" w:cs="Arial"/>
                <w:b w:val="0"/>
                <w:iCs/>
                <w:color w:val="000000"/>
                <w:sz w:val="20"/>
                <w:lang w:val="en-US"/>
              </w:rPr>
              <w:t>val</w:t>
            </w:r>
            <w:proofErr w:type="spellEnd"/>
          </w:p>
        </w:tc>
        <w:tc>
          <w:tcPr>
            <w:tcW w:w="850" w:type="dxa"/>
            <w:tcBorders>
              <w:bottom w:val="single" w:sz="4" w:space="0" w:color="auto"/>
            </w:tcBorders>
          </w:tcPr>
          <w:p w14:paraId="2FE225CF" w14:textId="77777777" w:rsidR="006463F4" w:rsidRPr="00883FC0" w:rsidRDefault="006463F4" w:rsidP="00A0712B">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iCs/>
                <w:color w:val="000000"/>
                <w:sz w:val="20"/>
                <w:lang w:val="en-US"/>
              </w:rPr>
            </w:pPr>
            <w:r w:rsidRPr="00883FC0">
              <w:rPr>
                <w:rFonts w:ascii="Arial" w:hAnsi="Arial" w:cs="Arial"/>
                <w:b w:val="0"/>
                <w:i/>
                <w:iCs/>
                <w:color w:val="000000"/>
                <w:sz w:val="20"/>
                <w:lang w:val="en-US"/>
              </w:rPr>
              <w:t>P</w:t>
            </w:r>
          </w:p>
        </w:tc>
      </w:tr>
      <w:tr w:rsidR="006463F4" w:rsidRPr="00883FC0" w14:paraId="4AC19AB1"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val="restart"/>
            <w:tcBorders>
              <w:top w:val="single" w:sz="4" w:space="0" w:color="auto"/>
              <w:bottom w:val="nil"/>
            </w:tcBorders>
          </w:tcPr>
          <w:p w14:paraId="216F158E"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lang w:val="en-US"/>
              </w:rPr>
            </w:pPr>
            <w:r w:rsidRPr="00883FC0">
              <w:rPr>
                <w:rFonts w:ascii="Arial" w:hAnsi="Arial" w:cs="Arial"/>
                <w:b w:val="0"/>
                <w:iCs/>
                <w:color w:val="000000"/>
                <w:sz w:val="20"/>
                <w:lang w:val="en-US"/>
              </w:rPr>
              <w:t xml:space="preserve">Resistant RRA </w:t>
            </w:r>
            <w:r w:rsidRPr="00883FC0">
              <w:rPr>
                <w:rFonts w:ascii="Cambria Math" w:hAnsi="Cambria Math" w:cs="Cambria Math"/>
                <w:b w:val="0"/>
                <w:iCs/>
                <w:color w:val="000000"/>
                <w:sz w:val="20"/>
                <w:lang w:val="en-US"/>
              </w:rPr>
              <w:t>∼</w:t>
            </w:r>
            <w:r w:rsidRPr="00883FC0">
              <w:rPr>
                <w:rFonts w:ascii="Arial" w:hAnsi="Arial" w:cs="Arial"/>
                <w:b w:val="0"/>
                <w:iCs/>
                <w:color w:val="000000"/>
                <w:sz w:val="20"/>
                <w:lang w:val="en-US"/>
              </w:rPr>
              <w:t xml:space="preserve"> host species x study sites + nematode species</w:t>
            </w:r>
          </w:p>
        </w:tc>
        <w:tc>
          <w:tcPr>
            <w:tcW w:w="2268" w:type="dxa"/>
            <w:tcBorders>
              <w:top w:val="single" w:sz="4" w:space="0" w:color="auto"/>
              <w:bottom w:val="nil"/>
            </w:tcBorders>
          </w:tcPr>
          <w:p w14:paraId="3D9AAAE6"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Intercept</w:t>
            </w:r>
          </w:p>
        </w:tc>
        <w:tc>
          <w:tcPr>
            <w:tcW w:w="1460" w:type="dxa"/>
            <w:tcBorders>
              <w:top w:val="single" w:sz="4" w:space="0" w:color="auto"/>
              <w:bottom w:val="nil"/>
            </w:tcBorders>
          </w:tcPr>
          <w:p w14:paraId="719B09E0" w14:textId="213168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-2.0</w:t>
            </w:r>
            <w:r w:rsidR="00E501C7" w:rsidRPr="00883FC0">
              <w:rPr>
                <w:rFonts w:ascii="Arial" w:hAnsi="Arial" w:cs="Arial"/>
                <w:iCs/>
                <w:color w:val="000000"/>
                <w:sz w:val="20"/>
                <w:lang w:val="en-US"/>
              </w:rPr>
              <w:t>2</w:t>
            </w:r>
            <w:r w:rsidRPr="00883FC0">
              <w:rPr>
                <w:rFonts w:ascii="Arial" w:hAnsi="Arial" w:cs="Arial"/>
                <w:iCs/>
                <w:color w:val="000000"/>
                <w:sz w:val="20"/>
                <w:lang w:val="en-US"/>
              </w:rPr>
              <w:t xml:space="preserve"> ± 0.59</w:t>
            </w:r>
          </w:p>
        </w:tc>
        <w:tc>
          <w:tcPr>
            <w:tcW w:w="950" w:type="dxa"/>
            <w:tcBorders>
              <w:top w:val="single" w:sz="4" w:space="0" w:color="auto"/>
              <w:bottom w:val="nil"/>
            </w:tcBorders>
          </w:tcPr>
          <w:p w14:paraId="63D6CBC9" w14:textId="2049B2AF"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-3.4</w:t>
            </w:r>
            <w:r w:rsidR="00E501C7" w:rsidRPr="00883FC0">
              <w:rPr>
                <w:rFonts w:ascii="Arial" w:hAnsi="Arial" w:cs="Arial"/>
                <w:iCs/>
                <w:color w:val="000000"/>
                <w:sz w:val="20"/>
                <w:lang w:val="en-US"/>
              </w:rPr>
              <w:t>5</w:t>
            </w:r>
          </w:p>
        </w:tc>
        <w:tc>
          <w:tcPr>
            <w:tcW w:w="850" w:type="dxa"/>
            <w:tcBorders>
              <w:top w:val="single" w:sz="4" w:space="0" w:color="auto"/>
              <w:bottom w:val="nil"/>
            </w:tcBorders>
          </w:tcPr>
          <w:p w14:paraId="4254D023"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5e-04</w:t>
            </w:r>
          </w:p>
        </w:tc>
      </w:tr>
      <w:tr w:rsidR="006463F4" w:rsidRPr="00883FC0" w14:paraId="4E466C9F" w14:textId="77777777" w:rsidTr="00B82943">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00585930" w14:textId="77777777" w:rsidR="006463F4" w:rsidRPr="00883FC0" w:rsidRDefault="006463F4" w:rsidP="00A0712B">
            <w:pPr>
              <w:pStyle w:val="NormalWeb"/>
              <w:spacing w:before="0" w:beforeAutospacing="0" w:after="0" w:afterAutospacing="0" w:line="360" w:lineRule="auto"/>
              <w:jc w:val="both"/>
              <w:rPr>
                <w:rFonts w:ascii="Arial" w:hAnsi="Arial" w:cs="Arial"/>
                <w:b w:val="0"/>
                <w:iCs/>
                <w:color w:val="000000"/>
                <w:sz w:val="20"/>
                <w:lang w:val="en-US"/>
              </w:rPr>
            </w:pPr>
          </w:p>
        </w:tc>
        <w:tc>
          <w:tcPr>
            <w:tcW w:w="2268" w:type="dxa"/>
            <w:tcBorders>
              <w:top w:val="nil"/>
              <w:bottom w:val="nil"/>
            </w:tcBorders>
          </w:tcPr>
          <w:p w14:paraId="58623498"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Species</w:t>
            </w:r>
          </w:p>
        </w:tc>
        <w:tc>
          <w:tcPr>
            <w:tcW w:w="1460" w:type="dxa"/>
            <w:tcBorders>
              <w:top w:val="nil"/>
              <w:bottom w:val="nil"/>
            </w:tcBorders>
          </w:tcPr>
          <w:p w14:paraId="4A8880DD" w14:textId="53EBEE40"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-2.2</w:t>
            </w:r>
            <w:r w:rsidR="00E501C7" w:rsidRPr="00883FC0">
              <w:rPr>
                <w:rFonts w:ascii="Arial" w:hAnsi="Arial" w:cs="Arial"/>
                <w:iCs/>
                <w:color w:val="000000"/>
                <w:sz w:val="20"/>
                <w:lang w:val="en-US"/>
              </w:rPr>
              <w:t>1</w:t>
            </w:r>
            <w:r w:rsidRPr="00883FC0">
              <w:rPr>
                <w:rFonts w:ascii="Arial" w:hAnsi="Arial" w:cs="Arial"/>
                <w:iCs/>
                <w:color w:val="000000"/>
                <w:sz w:val="20"/>
                <w:lang w:val="en-US"/>
              </w:rPr>
              <w:t xml:space="preserve"> ± 0.66</w:t>
            </w:r>
          </w:p>
        </w:tc>
        <w:tc>
          <w:tcPr>
            <w:tcW w:w="950" w:type="dxa"/>
            <w:tcBorders>
              <w:top w:val="nil"/>
              <w:bottom w:val="nil"/>
            </w:tcBorders>
          </w:tcPr>
          <w:p w14:paraId="71C477BF" w14:textId="6CE863E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-3.3</w:t>
            </w:r>
            <w:r w:rsidR="00E501C7" w:rsidRPr="00883FC0">
              <w:rPr>
                <w:rFonts w:ascii="Arial" w:hAnsi="Arial" w:cs="Arial"/>
                <w:iCs/>
                <w:color w:val="000000"/>
                <w:sz w:val="20"/>
                <w:lang w:val="en-US"/>
              </w:rPr>
              <w:t>5</w:t>
            </w:r>
          </w:p>
        </w:tc>
        <w:tc>
          <w:tcPr>
            <w:tcW w:w="850" w:type="dxa"/>
            <w:tcBorders>
              <w:top w:val="nil"/>
              <w:bottom w:val="nil"/>
            </w:tcBorders>
          </w:tcPr>
          <w:p w14:paraId="1932D5F2" w14:textId="7BEEA88F" w:rsidR="006463F4" w:rsidRPr="00883FC0" w:rsidRDefault="00E501C7"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8</w:t>
            </w:r>
            <w:r w:rsidR="006463F4" w:rsidRPr="00883FC0">
              <w:rPr>
                <w:rFonts w:ascii="Arial" w:hAnsi="Arial" w:cs="Arial"/>
                <w:b/>
                <w:iCs/>
                <w:color w:val="000000"/>
                <w:sz w:val="20"/>
                <w:lang w:val="en-US"/>
              </w:rPr>
              <w:t>e-04</w:t>
            </w:r>
          </w:p>
        </w:tc>
      </w:tr>
      <w:tr w:rsidR="006463F4" w:rsidRPr="00883FC0" w14:paraId="55EC4DF5"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7EC1E314"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6F3175DE"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Mountain(AL)</w:t>
            </w:r>
          </w:p>
        </w:tc>
        <w:tc>
          <w:tcPr>
            <w:tcW w:w="1460" w:type="dxa"/>
            <w:tcBorders>
              <w:top w:val="nil"/>
              <w:bottom w:val="nil"/>
            </w:tcBorders>
          </w:tcPr>
          <w:p w14:paraId="5783AC60" w14:textId="6ACFFDFA"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w:t>
            </w:r>
            <w:r w:rsidR="00E501C7" w:rsidRPr="00883FC0">
              <w:rPr>
                <w:rFonts w:ascii="Arial" w:hAnsi="Arial" w:cs="Arial"/>
                <w:iCs/>
                <w:color w:val="000000"/>
                <w:sz w:val="20"/>
                <w:lang w:val="en-US"/>
              </w:rPr>
              <w:t>89</w:t>
            </w:r>
            <w:r w:rsidRPr="00883FC0">
              <w:rPr>
                <w:rFonts w:ascii="Arial" w:hAnsi="Arial" w:cs="Arial"/>
                <w:iCs/>
                <w:color w:val="000000"/>
                <w:sz w:val="20"/>
                <w:lang w:val="en-US"/>
              </w:rPr>
              <w:t xml:space="preserve"> ± 0.99</w:t>
            </w:r>
          </w:p>
        </w:tc>
        <w:tc>
          <w:tcPr>
            <w:tcW w:w="950" w:type="dxa"/>
            <w:tcBorders>
              <w:top w:val="nil"/>
              <w:bottom w:val="nil"/>
            </w:tcBorders>
          </w:tcPr>
          <w:p w14:paraId="7178B9E9" w14:textId="178E389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-2.9</w:t>
            </w:r>
            <w:r w:rsidR="00E501C7" w:rsidRPr="00883FC0">
              <w:rPr>
                <w:rFonts w:ascii="Arial" w:hAnsi="Arial" w:cs="Arial"/>
                <w:iCs/>
                <w:color w:val="000000"/>
                <w:sz w:val="20"/>
                <w:lang w:val="en-US"/>
              </w:rPr>
              <w:t>3</w:t>
            </w:r>
          </w:p>
        </w:tc>
        <w:tc>
          <w:tcPr>
            <w:tcW w:w="850" w:type="dxa"/>
            <w:tcBorders>
              <w:top w:val="nil"/>
              <w:bottom w:val="nil"/>
            </w:tcBorders>
          </w:tcPr>
          <w:p w14:paraId="3F811415"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0.003</w:t>
            </w:r>
          </w:p>
        </w:tc>
      </w:tr>
      <w:tr w:rsidR="006463F4" w:rsidRPr="00883FC0" w14:paraId="03683498" w14:textId="77777777" w:rsidTr="00B82943">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65779228"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372F06C9"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Mountain(MO)</w:t>
            </w:r>
          </w:p>
        </w:tc>
        <w:tc>
          <w:tcPr>
            <w:tcW w:w="1460" w:type="dxa"/>
            <w:tcBorders>
              <w:top w:val="nil"/>
              <w:bottom w:val="nil"/>
            </w:tcBorders>
          </w:tcPr>
          <w:p w14:paraId="22242955" w14:textId="7B8E68DE"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-1.3</w:t>
            </w:r>
            <w:r w:rsidR="00E501C7" w:rsidRPr="00883FC0">
              <w:rPr>
                <w:rFonts w:ascii="Arial" w:hAnsi="Arial" w:cs="Arial"/>
                <w:iCs/>
                <w:color w:val="000000"/>
                <w:sz w:val="20"/>
                <w:lang w:val="en-US"/>
              </w:rPr>
              <w:t>7</w:t>
            </w:r>
            <w:r w:rsidRPr="00883FC0">
              <w:rPr>
                <w:rFonts w:ascii="Arial" w:hAnsi="Arial" w:cs="Arial"/>
                <w:iCs/>
                <w:color w:val="000000"/>
                <w:sz w:val="20"/>
                <w:lang w:val="en-US"/>
              </w:rPr>
              <w:t xml:space="preserve"> ± 0.89</w:t>
            </w:r>
          </w:p>
        </w:tc>
        <w:tc>
          <w:tcPr>
            <w:tcW w:w="950" w:type="dxa"/>
            <w:tcBorders>
              <w:top w:val="nil"/>
              <w:bottom w:val="nil"/>
            </w:tcBorders>
          </w:tcPr>
          <w:p w14:paraId="60527353" w14:textId="1453140D"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1.5</w:t>
            </w:r>
            <w:r w:rsidR="00E501C7" w:rsidRPr="00883FC0">
              <w:rPr>
                <w:rFonts w:ascii="Arial" w:hAnsi="Arial" w:cs="Arial"/>
                <w:iCs/>
                <w:color w:val="000000"/>
                <w:sz w:val="20"/>
                <w:lang w:val="en-US"/>
              </w:rPr>
              <w:t>4</w:t>
            </w:r>
          </w:p>
        </w:tc>
        <w:tc>
          <w:tcPr>
            <w:tcW w:w="850" w:type="dxa"/>
            <w:tcBorders>
              <w:top w:val="nil"/>
              <w:bottom w:val="nil"/>
            </w:tcBorders>
          </w:tcPr>
          <w:p w14:paraId="561F2200" w14:textId="51E72543"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0.12</w:t>
            </w:r>
            <w:r w:rsidR="00E501C7" w:rsidRPr="00883FC0">
              <w:rPr>
                <w:rFonts w:ascii="Arial" w:hAnsi="Arial" w:cs="Arial"/>
                <w:iCs/>
                <w:color w:val="000000"/>
                <w:sz w:val="20"/>
                <w:lang w:val="en-US"/>
              </w:rPr>
              <w:t>3</w:t>
            </w:r>
          </w:p>
        </w:tc>
      </w:tr>
      <w:tr w:rsidR="006463F4" w:rsidRPr="00883FC0" w14:paraId="3CA149C9"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4FB64F7C"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20141E97"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Mountain(Ch)</w:t>
            </w:r>
          </w:p>
        </w:tc>
        <w:tc>
          <w:tcPr>
            <w:tcW w:w="1460" w:type="dxa"/>
            <w:tcBorders>
              <w:top w:val="nil"/>
              <w:bottom w:val="nil"/>
            </w:tcBorders>
          </w:tcPr>
          <w:p w14:paraId="3EE658D4"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-0.10 ± 1.18</w:t>
            </w:r>
          </w:p>
        </w:tc>
        <w:tc>
          <w:tcPr>
            <w:tcW w:w="950" w:type="dxa"/>
            <w:tcBorders>
              <w:top w:val="nil"/>
              <w:bottom w:val="nil"/>
            </w:tcBorders>
          </w:tcPr>
          <w:p w14:paraId="25EA8BEB"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-0.08</w:t>
            </w:r>
          </w:p>
        </w:tc>
        <w:tc>
          <w:tcPr>
            <w:tcW w:w="850" w:type="dxa"/>
            <w:tcBorders>
              <w:top w:val="nil"/>
              <w:bottom w:val="nil"/>
            </w:tcBorders>
          </w:tcPr>
          <w:p w14:paraId="3206741D" w14:textId="671B021D"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0.93</w:t>
            </w:r>
            <w:r w:rsidR="00E501C7" w:rsidRPr="00883FC0">
              <w:rPr>
                <w:rFonts w:ascii="Arial" w:hAnsi="Arial" w:cs="Arial"/>
                <w:iCs/>
                <w:color w:val="000000"/>
                <w:sz w:val="20"/>
                <w:lang w:val="en-US"/>
              </w:rPr>
              <w:t>5</w:t>
            </w:r>
          </w:p>
        </w:tc>
      </w:tr>
      <w:tr w:rsidR="006463F4" w:rsidRPr="00883FC0" w14:paraId="49BD99D2" w14:textId="77777777" w:rsidTr="00B82943">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12988847"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00B0C09F"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Nematode(</w:t>
            </w:r>
            <w:proofErr w:type="spellStart"/>
            <w:r w:rsidRPr="00883FC0">
              <w:rPr>
                <w:rFonts w:ascii="Arial" w:hAnsi="Arial" w:cs="Arial"/>
                <w:iCs/>
                <w:color w:val="000000"/>
                <w:sz w:val="20"/>
                <w:lang w:val="en-US"/>
              </w:rPr>
              <w:t>Hc</w:t>
            </w:r>
            <w:proofErr w:type="spellEnd"/>
            <w:r w:rsidRPr="00883FC0">
              <w:rPr>
                <w:rFonts w:ascii="Arial" w:hAnsi="Arial" w:cs="Arial"/>
                <w:iCs/>
                <w:color w:val="000000"/>
                <w:sz w:val="20"/>
                <w:lang w:val="en-US"/>
              </w:rPr>
              <w:t>)</w:t>
            </w:r>
          </w:p>
        </w:tc>
        <w:tc>
          <w:tcPr>
            <w:tcW w:w="1460" w:type="dxa"/>
            <w:tcBorders>
              <w:top w:val="nil"/>
              <w:bottom w:val="nil"/>
            </w:tcBorders>
          </w:tcPr>
          <w:p w14:paraId="17DA496A" w14:textId="65A7D4AB"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2.5</w:t>
            </w:r>
            <w:r w:rsidR="00E501C7" w:rsidRPr="00883FC0">
              <w:rPr>
                <w:rFonts w:ascii="Arial" w:hAnsi="Arial" w:cs="Arial"/>
                <w:iCs/>
                <w:color w:val="000000"/>
                <w:sz w:val="20"/>
                <w:lang w:val="en-US"/>
              </w:rPr>
              <w:t>2</w:t>
            </w:r>
            <w:r w:rsidRPr="00883FC0">
              <w:rPr>
                <w:rFonts w:ascii="Arial" w:hAnsi="Arial" w:cs="Arial"/>
                <w:iCs/>
                <w:color w:val="000000"/>
                <w:sz w:val="20"/>
                <w:lang w:val="en-US"/>
              </w:rPr>
              <w:t xml:space="preserve"> ± 0.62</w:t>
            </w:r>
          </w:p>
        </w:tc>
        <w:tc>
          <w:tcPr>
            <w:tcW w:w="950" w:type="dxa"/>
            <w:tcBorders>
              <w:top w:val="nil"/>
              <w:bottom w:val="nil"/>
            </w:tcBorders>
          </w:tcPr>
          <w:p w14:paraId="2C3F1D16" w14:textId="13DDE75C"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4.0</w:t>
            </w:r>
            <w:r w:rsidR="00E501C7" w:rsidRPr="00883FC0">
              <w:rPr>
                <w:rFonts w:ascii="Arial" w:hAnsi="Arial" w:cs="Arial"/>
                <w:iCs/>
                <w:color w:val="000000"/>
                <w:sz w:val="20"/>
                <w:lang w:val="en-US"/>
              </w:rPr>
              <w:t>5</w:t>
            </w:r>
          </w:p>
        </w:tc>
        <w:tc>
          <w:tcPr>
            <w:tcW w:w="850" w:type="dxa"/>
            <w:tcBorders>
              <w:top w:val="nil"/>
              <w:bottom w:val="nil"/>
            </w:tcBorders>
          </w:tcPr>
          <w:p w14:paraId="0C4B8F1A" w14:textId="28BF2B6F" w:rsidR="006463F4" w:rsidRPr="00883FC0" w:rsidRDefault="00E501C7"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5</w:t>
            </w:r>
            <w:r w:rsidR="006463F4" w:rsidRPr="00883FC0">
              <w:rPr>
                <w:rFonts w:ascii="Arial" w:hAnsi="Arial" w:cs="Arial"/>
                <w:b/>
                <w:iCs/>
                <w:color w:val="000000"/>
                <w:sz w:val="20"/>
                <w:lang w:val="en-US"/>
              </w:rPr>
              <w:t>e-05</w:t>
            </w:r>
          </w:p>
        </w:tc>
      </w:tr>
      <w:tr w:rsidR="006463F4" w:rsidRPr="00883FC0" w14:paraId="4EDA4342"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09C2E66B"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150E5FDB"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Nematode(Ta)</w:t>
            </w:r>
          </w:p>
        </w:tc>
        <w:tc>
          <w:tcPr>
            <w:tcW w:w="1460" w:type="dxa"/>
            <w:tcBorders>
              <w:top w:val="nil"/>
              <w:bottom w:val="nil"/>
            </w:tcBorders>
          </w:tcPr>
          <w:p w14:paraId="638004E3" w14:textId="2D73D293"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4.</w:t>
            </w:r>
            <w:r w:rsidR="00E501C7" w:rsidRPr="00883FC0">
              <w:rPr>
                <w:rFonts w:ascii="Arial" w:hAnsi="Arial" w:cs="Arial"/>
                <w:iCs/>
                <w:color w:val="000000"/>
                <w:sz w:val="20"/>
                <w:lang w:val="en-US"/>
              </w:rPr>
              <w:t>68</w:t>
            </w:r>
            <w:r w:rsidRPr="00883FC0">
              <w:rPr>
                <w:rFonts w:ascii="Arial" w:hAnsi="Arial" w:cs="Arial"/>
                <w:iCs/>
                <w:color w:val="000000"/>
                <w:sz w:val="20"/>
                <w:lang w:val="en-US"/>
              </w:rPr>
              <w:t xml:space="preserve"> ± 0.59</w:t>
            </w:r>
          </w:p>
        </w:tc>
        <w:tc>
          <w:tcPr>
            <w:tcW w:w="950" w:type="dxa"/>
            <w:tcBorders>
              <w:top w:val="nil"/>
              <w:bottom w:val="nil"/>
            </w:tcBorders>
          </w:tcPr>
          <w:p w14:paraId="41485860" w14:textId="01479C0C"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7.9</w:t>
            </w:r>
            <w:r w:rsidR="00E501C7" w:rsidRPr="00883FC0">
              <w:rPr>
                <w:rFonts w:ascii="Arial" w:hAnsi="Arial" w:cs="Arial"/>
                <w:iCs/>
                <w:color w:val="000000"/>
                <w:sz w:val="20"/>
                <w:lang w:val="en-US"/>
              </w:rPr>
              <w:t>5</w:t>
            </w:r>
          </w:p>
        </w:tc>
        <w:tc>
          <w:tcPr>
            <w:tcW w:w="850" w:type="dxa"/>
            <w:tcBorders>
              <w:top w:val="nil"/>
              <w:bottom w:val="nil"/>
            </w:tcBorders>
          </w:tcPr>
          <w:p w14:paraId="0F732189"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1e-15</w:t>
            </w:r>
          </w:p>
        </w:tc>
      </w:tr>
      <w:tr w:rsidR="006463F4" w:rsidRPr="00883FC0" w14:paraId="467B0D1A" w14:textId="77777777" w:rsidTr="00B82943">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2653278D"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5F210744"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Nematode(</w:t>
            </w:r>
            <w:proofErr w:type="spellStart"/>
            <w:r w:rsidRPr="00883FC0">
              <w:rPr>
                <w:rFonts w:ascii="Arial" w:hAnsi="Arial" w:cs="Arial"/>
                <w:iCs/>
                <w:color w:val="000000"/>
                <w:sz w:val="20"/>
                <w:lang w:val="en-US"/>
              </w:rPr>
              <w:t>Tcol</w:t>
            </w:r>
            <w:proofErr w:type="spellEnd"/>
            <w:r w:rsidRPr="00883FC0">
              <w:rPr>
                <w:rFonts w:ascii="Arial" w:hAnsi="Arial" w:cs="Arial"/>
                <w:iCs/>
                <w:color w:val="000000"/>
                <w:sz w:val="20"/>
                <w:lang w:val="en-US"/>
              </w:rPr>
              <w:t>)</w:t>
            </w:r>
          </w:p>
        </w:tc>
        <w:tc>
          <w:tcPr>
            <w:tcW w:w="1460" w:type="dxa"/>
            <w:tcBorders>
              <w:top w:val="nil"/>
              <w:bottom w:val="nil"/>
            </w:tcBorders>
          </w:tcPr>
          <w:p w14:paraId="11209AA4" w14:textId="41665F5A"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7.</w:t>
            </w:r>
            <w:r w:rsidR="00E501C7" w:rsidRPr="00883FC0">
              <w:rPr>
                <w:rFonts w:ascii="Arial" w:hAnsi="Arial" w:cs="Arial"/>
                <w:iCs/>
                <w:color w:val="000000"/>
                <w:sz w:val="20"/>
                <w:lang w:val="en-US"/>
              </w:rPr>
              <w:t>38</w:t>
            </w:r>
            <w:r w:rsidRPr="00883FC0">
              <w:rPr>
                <w:rFonts w:ascii="Arial" w:hAnsi="Arial" w:cs="Arial"/>
                <w:iCs/>
                <w:color w:val="000000"/>
                <w:sz w:val="20"/>
                <w:lang w:val="en-US"/>
              </w:rPr>
              <w:t xml:space="preserve"> ± 0.75</w:t>
            </w:r>
          </w:p>
        </w:tc>
        <w:tc>
          <w:tcPr>
            <w:tcW w:w="950" w:type="dxa"/>
            <w:tcBorders>
              <w:top w:val="nil"/>
              <w:bottom w:val="nil"/>
            </w:tcBorders>
          </w:tcPr>
          <w:p w14:paraId="2AD93E60" w14:textId="2B70EB05"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9.</w:t>
            </w:r>
            <w:r w:rsidR="00E501C7" w:rsidRPr="00883FC0">
              <w:rPr>
                <w:rFonts w:ascii="Arial" w:hAnsi="Arial" w:cs="Arial"/>
                <w:iCs/>
                <w:color w:val="000000"/>
                <w:sz w:val="20"/>
                <w:lang w:val="en-US"/>
              </w:rPr>
              <w:t>79</w:t>
            </w:r>
          </w:p>
        </w:tc>
        <w:tc>
          <w:tcPr>
            <w:tcW w:w="850" w:type="dxa"/>
            <w:tcBorders>
              <w:top w:val="nil"/>
              <w:bottom w:val="nil"/>
            </w:tcBorders>
          </w:tcPr>
          <w:p w14:paraId="6B3AB693"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&lt;2e-16</w:t>
            </w:r>
          </w:p>
        </w:tc>
      </w:tr>
      <w:tr w:rsidR="006463F4" w:rsidRPr="00883FC0" w14:paraId="790B9205"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79B28744"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50FC4053"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proofErr w:type="spellStart"/>
            <w:r w:rsidRPr="00883FC0">
              <w:rPr>
                <w:rFonts w:ascii="Arial" w:hAnsi="Arial" w:cs="Arial"/>
                <w:iCs/>
                <w:color w:val="000000"/>
                <w:sz w:val="20"/>
                <w:lang w:val="en-US"/>
              </w:rPr>
              <w:t>Species:Site</w:t>
            </w:r>
            <w:proofErr w:type="spellEnd"/>
            <w:r w:rsidRPr="00883FC0">
              <w:rPr>
                <w:rFonts w:ascii="Arial" w:hAnsi="Arial" w:cs="Arial"/>
                <w:iCs/>
                <w:color w:val="000000"/>
                <w:sz w:val="20"/>
                <w:lang w:val="en-US"/>
              </w:rPr>
              <w:t>(AL)</w:t>
            </w:r>
          </w:p>
        </w:tc>
        <w:tc>
          <w:tcPr>
            <w:tcW w:w="1460" w:type="dxa"/>
            <w:tcBorders>
              <w:top w:val="nil"/>
              <w:bottom w:val="nil"/>
            </w:tcBorders>
          </w:tcPr>
          <w:p w14:paraId="783C9D78" w14:textId="69D7B192"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w:t>
            </w:r>
            <w:r w:rsidR="00E501C7" w:rsidRPr="00883FC0">
              <w:rPr>
                <w:rFonts w:ascii="Arial" w:hAnsi="Arial" w:cs="Arial"/>
                <w:iCs/>
                <w:color w:val="000000"/>
                <w:sz w:val="20"/>
                <w:lang w:val="en-US"/>
              </w:rPr>
              <w:t>90</w:t>
            </w:r>
            <w:r w:rsidRPr="00883FC0">
              <w:rPr>
                <w:rFonts w:ascii="Arial" w:hAnsi="Arial" w:cs="Arial"/>
                <w:iCs/>
                <w:color w:val="000000"/>
                <w:sz w:val="20"/>
                <w:lang w:val="en-US"/>
              </w:rPr>
              <w:t xml:space="preserve"> ± 1.19</w:t>
            </w:r>
          </w:p>
        </w:tc>
        <w:tc>
          <w:tcPr>
            <w:tcW w:w="950" w:type="dxa"/>
            <w:tcBorders>
              <w:top w:val="nil"/>
              <w:bottom w:val="nil"/>
            </w:tcBorders>
          </w:tcPr>
          <w:p w14:paraId="48720552" w14:textId="087171C1"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2.4</w:t>
            </w:r>
            <w:r w:rsidR="00E501C7" w:rsidRPr="00883FC0">
              <w:rPr>
                <w:rFonts w:ascii="Arial" w:hAnsi="Arial" w:cs="Arial"/>
                <w:iCs/>
                <w:color w:val="000000"/>
                <w:sz w:val="20"/>
                <w:lang w:val="en-US"/>
              </w:rPr>
              <w:t>4</w:t>
            </w:r>
          </w:p>
        </w:tc>
        <w:tc>
          <w:tcPr>
            <w:tcW w:w="850" w:type="dxa"/>
            <w:tcBorders>
              <w:top w:val="nil"/>
              <w:bottom w:val="nil"/>
            </w:tcBorders>
          </w:tcPr>
          <w:p w14:paraId="5942F706"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000000"/>
                <w:sz w:val="20"/>
                <w:lang w:val="en-US"/>
              </w:rPr>
            </w:pPr>
            <w:r w:rsidRPr="00883FC0">
              <w:rPr>
                <w:rFonts w:ascii="Arial" w:hAnsi="Arial" w:cs="Arial"/>
                <w:b/>
                <w:iCs/>
                <w:color w:val="000000"/>
                <w:sz w:val="20"/>
                <w:lang w:val="en-US"/>
              </w:rPr>
              <w:t>0.015</w:t>
            </w:r>
          </w:p>
        </w:tc>
      </w:tr>
      <w:tr w:rsidR="006463F4" w:rsidRPr="00883FC0" w14:paraId="58026285" w14:textId="77777777" w:rsidTr="00B82943">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nil"/>
            </w:tcBorders>
          </w:tcPr>
          <w:p w14:paraId="4BEDB8C9"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nil"/>
            </w:tcBorders>
          </w:tcPr>
          <w:p w14:paraId="79D6D14E" w14:textId="77777777"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proofErr w:type="spellStart"/>
            <w:r w:rsidRPr="00883FC0">
              <w:rPr>
                <w:rFonts w:ascii="Arial" w:hAnsi="Arial" w:cs="Arial"/>
                <w:iCs/>
                <w:color w:val="000000"/>
                <w:sz w:val="20"/>
                <w:lang w:val="en-US"/>
              </w:rPr>
              <w:t>Species:Site</w:t>
            </w:r>
            <w:proofErr w:type="spellEnd"/>
            <w:r w:rsidRPr="00883FC0">
              <w:rPr>
                <w:rFonts w:ascii="Arial" w:hAnsi="Arial" w:cs="Arial"/>
                <w:iCs/>
                <w:color w:val="000000"/>
                <w:sz w:val="20"/>
                <w:lang w:val="en-US"/>
              </w:rPr>
              <w:t>(MO)</w:t>
            </w:r>
          </w:p>
        </w:tc>
        <w:tc>
          <w:tcPr>
            <w:tcW w:w="1460" w:type="dxa"/>
            <w:tcBorders>
              <w:top w:val="nil"/>
              <w:bottom w:val="nil"/>
            </w:tcBorders>
          </w:tcPr>
          <w:p w14:paraId="412898D1" w14:textId="11EB1B3C"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0.0</w:t>
            </w:r>
            <w:r w:rsidR="00E501C7" w:rsidRPr="00883FC0">
              <w:rPr>
                <w:rFonts w:ascii="Arial" w:hAnsi="Arial" w:cs="Arial"/>
                <w:iCs/>
                <w:color w:val="000000"/>
                <w:sz w:val="20"/>
                <w:lang w:val="en-US"/>
              </w:rPr>
              <w:t>4</w:t>
            </w:r>
            <w:r w:rsidRPr="00883FC0">
              <w:rPr>
                <w:rFonts w:ascii="Arial" w:hAnsi="Arial" w:cs="Arial"/>
                <w:iCs/>
                <w:color w:val="000000"/>
                <w:sz w:val="20"/>
                <w:lang w:val="en-US"/>
              </w:rPr>
              <w:t xml:space="preserve"> ± 1.28</w:t>
            </w:r>
          </w:p>
        </w:tc>
        <w:tc>
          <w:tcPr>
            <w:tcW w:w="950" w:type="dxa"/>
            <w:tcBorders>
              <w:top w:val="nil"/>
              <w:bottom w:val="nil"/>
            </w:tcBorders>
          </w:tcPr>
          <w:p w14:paraId="4D7B70F4" w14:textId="2ECD45B1"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0.0</w:t>
            </w:r>
            <w:r w:rsidR="00E501C7" w:rsidRPr="00883FC0">
              <w:rPr>
                <w:rFonts w:ascii="Arial" w:hAnsi="Arial" w:cs="Arial"/>
                <w:iCs/>
                <w:color w:val="000000"/>
                <w:sz w:val="20"/>
                <w:lang w:val="en-US"/>
              </w:rPr>
              <w:t>3</w:t>
            </w:r>
          </w:p>
        </w:tc>
        <w:tc>
          <w:tcPr>
            <w:tcW w:w="850" w:type="dxa"/>
            <w:tcBorders>
              <w:top w:val="nil"/>
              <w:bottom w:val="nil"/>
            </w:tcBorders>
          </w:tcPr>
          <w:p w14:paraId="13A9111E" w14:textId="799C9E3B" w:rsidR="006463F4" w:rsidRPr="00883FC0" w:rsidRDefault="006463F4" w:rsidP="00A0712B">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0.9</w:t>
            </w:r>
            <w:r w:rsidR="00E501C7" w:rsidRPr="00883FC0">
              <w:rPr>
                <w:rFonts w:ascii="Arial" w:hAnsi="Arial" w:cs="Arial"/>
                <w:iCs/>
                <w:color w:val="000000"/>
                <w:sz w:val="20"/>
                <w:lang w:val="en-US"/>
              </w:rPr>
              <w:t>73</w:t>
            </w:r>
          </w:p>
        </w:tc>
      </w:tr>
      <w:tr w:rsidR="006463F4" w:rsidRPr="00883FC0" w14:paraId="73202F4F" w14:textId="77777777" w:rsidTr="00B82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Borders>
              <w:top w:val="nil"/>
              <w:bottom w:val="single" w:sz="4" w:space="0" w:color="auto"/>
            </w:tcBorders>
          </w:tcPr>
          <w:p w14:paraId="6E8A721D"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sz w:val="20"/>
                <w:lang w:val="en-US"/>
              </w:rPr>
            </w:pPr>
          </w:p>
        </w:tc>
        <w:tc>
          <w:tcPr>
            <w:tcW w:w="2268" w:type="dxa"/>
            <w:tcBorders>
              <w:top w:val="nil"/>
              <w:bottom w:val="single" w:sz="4" w:space="0" w:color="auto"/>
            </w:tcBorders>
          </w:tcPr>
          <w:p w14:paraId="5048AEA8"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proofErr w:type="spellStart"/>
            <w:r w:rsidRPr="00883FC0">
              <w:rPr>
                <w:rFonts w:ascii="Arial" w:hAnsi="Arial" w:cs="Arial"/>
                <w:iCs/>
                <w:color w:val="000000"/>
                <w:sz w:val="20"/>
                <w:lang w:val="en-US"/>
              </w:rPr>
              <w:t>Species:Site</w:t>
            </w:r>
            <w:proofErr w:type="spellEnd"/>
            <w:r w:rsidRPr="00883FC0">
              <w:rPr>
                <w:rFonts w:ascii="Arial" w:hAnsi="Arial" w:cs="Arial"/>
                <w:iCs/>
                <w:color w:val="000000"/>
                <w:sz w:val="20"/>
                <w:lang w:val="en-US"/>
              </w:rPr>
              <w:t>(Ch)</w:t>
            </w:r>
          </w:p>
        </w:tc>
        <w:tc>
          <w:tcPr>
            <w:tcW w:w="1460" w:type="dxa"/>
            <w:tcBorders>
              <w:top w:val="nil"/>
              <w:bottom w:val="single" w:sz="4" w:space="0" w:color="auto"/>
            </w:tcBorders>
          </w:tcPr>
          <w:p w14:paraId="0F614112" w14:textId="74302A50"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-0.75 ± 1.3</w:t>
            </w:r>
            <w:r w:rsidR="00E501C7" w:rsidRPr="00883FC0">
              <w:rPr>
                <w:rFonts w:ascii="Arial" w:hAnsi="Arial" w:cs="Arial"/>
                <w:iCs/>
                <w:color w:val="000000"/>
                <w:sz w:val="20"/>
                <w:lang w:val="en-US"/>
              </w:rPr>
              <w:t>2</w:t>
            </w:r>
          </w:p>
        </w:tc>
        <w:tc>
          <w:tcPr>
            <w:tcW w:w="950" w:type="dxa"/>
            <w:tcBorders>
              <w:top w:val="nil"/>
              <w:bottom w:val="single" w:sz="4" w:space="0" w:color="auto"/>
            </w:tcBorders>
          </w:tcPr>
          <w:p w14:paraId="210A0172"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-0.56</w:t>
            </w:r>
          </w:p>
        </w:tc>
        <w:tc>
          <w:tcPr>
            <w:tcW w:w="850" w:type="dxa"/>
            <w:tcBorders>
              <w:top w:val="nil"/>
              <w:bottom w:val="single" w:sz="4" w:space="0" w:color="auto"/>
            </w:tcBorders>
          </w:tcPr>
          <w:p w14:paraId="17E624D8" w14:textId="77777777" w:rsidR="006463F4" w:rsidRPr="00883FC0" w:rsidRDefault="006463F4" w:rsidP="00A0712B">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lang w:val="en-US"/>
              </w:rPr>
            </w:pPr>
            <w:r w:rsidRPr="00883FC0">
              <w:rPr>
                <w:rFonts w:ascii="Arial" w:hAnsi="Arial" w:cs="Arial"/>
                <w:iCs/>
                <w:color w:val="000000"/>
                <w:sz w:val="20"/>
                <w:lang w:val="en-US"/>
              </w:rPr>
              <w:t>0.574</w:t>
            </w:r>
          </w:p>
        </w:tc>
      </w:tr>
    </w:tbl>
    <w:p w14:paraId="34C3D66C" w14:textId="77777777" w:rsidR="006463F4" w:rsidRPr="00883FC0" w:rsidRDefault="006463F4" w:rsidP="00A0712B">
      <w:pPr>
        <w:pStyle w:val="NormalWeb"/>
        <w:spacing w:before="0" w:beforeAutospacing="0" w:after="0" w:afterAutospacing="0" w:line="360" w:lineRule="auto"/>
        <w:jc w:val="both"/>
        <w:rPr>
          <w:rFonts w:ascii="Arial" w:hAnsi="Arial" w:cs="Arial"/>
          <w:iCs/>
          <w:color w:val="000000"/>
          <w:lang w:val="en-US"/>
        </w:rPr>
      </w:pPr>
    </w:p>
    <w:p w14:paraId="2772CF2A" w14:textId="7B1B037C" w:rsidR="003E01B7" w:rsidRPr="00883FC0" w:rsidRDefault="003E01B7" w:rsidP="00A0712B">
      <w:pPr>
        <w:pStyle w:val="NormalWeb"/>
        <w:spacing w:before="0" w:beforeAutospacing="0" w:after="0" w:afterAutospacing="0" w:line="360" w:lineRule="auto"/>
        <w:ind w:firstLine="708"/>
        <w:jc w:val="both"/>
        <w:rPr>
          <w:rFonts w:ascii="Arial" w:hAnsi="Arial" w:cs="Arial"/>
          <w:iCs/>
          <w:lang w:val="en-GB"/>
        </w:rPr>
      </w:pPr>
      <w:r w:rsidRPr="00883FC0">
        <w:rPr>
          <w:rFonts w:ascii="Arial" w:hAnsi="Arial" w:cs="Arial"/>
          <w:iCs/>
          <w:lang w:val="en-GB"/>
        </w:rPr>
        <w:t>Sheep and ibex shared 164 (38%) β-tubulin isotype 1 haplotypes and 2</w:t>
      </w:r>
      <w:r w:rsidR="007016D5" w:rsidRPr="00883FC0">
        <w:rPr>
          <w:rFonts w:ascii="Arial" w:hAnsi="Arial" w:cs="Arial"/>
          <w:iCs/>
          <w:lang w:val="en-GB"/>
        </w:rPr>
        <w:t>38</w:t>
      </w:r>
      <w:r w:rsidRPr="00883FC0">
        <w:rPr>
          <w:rFonts w:ascii="Arial" w:hAnsi="Arial" w:cs="Arial"/>
          <w:iCs/>
          <w:lang w:val="en-GB"/>
        </w:rPr>
        <w:t xml:space="preserve"> (55%) β-tubulin isotype 1 haplotypes w</w:t>
      </w:r>
      <w:r w:rsidR="00BE06BB" w:rsidRPr="00883FC0">
        <w:rPr>
          <w:rFonts w:ascii="Arial" w:hAnsi="Arial" w:cs="Arial"/>
          <w:iCs/>
          <w:lang w:val="en-GB"/>
        </w:rPr>
        <w:t>ere</w:t>
      </w:r>
      <w:r w:rsidRPr="00883FC0">
        <w:rPr>
          <w:rFonts w:ascii="Arial" w:hAnsi="Arial" w:cs="Arial"/>
          <w:iCs/>
          <w:lang w:val="en-GB"/>
        </w:rPr>
        <w:t xml:space="preserve"> only found in ibex samples (</w:t>
      </w:r>
      <w:r w:rsidR="005A0760" w:rsidRPr="00883FC0">
        <w:rPr>
          <w:rFonts w:ascii="Arial" w:hAnsi="Arial" w:cs="Arial"/>
          <w:iCs/>
          <w:lang w:val="en-GB"/>
        </w:rPr>
        <w:t>Figure 3</w:t>
      </w:r>
      <w:r w:rsidRPr="00883FC0">
        <w:rPr>
          <w:rFonts w:ascii="Arial" w:hAnsi="Arial" w:cs="Arial"/>
          <w:iCs/>
          <w:lang w:val="en-GB"/>
        </w:rPr>
        <w:t xml:space="preserve">). Most of the resistant haplotypes of </w:t>
      </w:r>
      <w:r w:rsidR="00317797" w:rsidRPr="00883FC0">
        <w:rPr>
          <w:rFonts w:ascii="Arial" w:hAnsi="Arial" w:cs="Arial"/>
          <w:i/>
          <w:iCs/>
          <w:lang w:val="en-GB"/>
        </w:rPr>
        <w:t>Teladorsagia</w:t>
      </w:r>
      <w:r w:rsidRPr="00883FC0">
        <w:rPr>
          <w:rFonts w:ascii="Arial" w:hAnsi="Arial" w:cs="Arial"/>
          <w:i/>
          <w:iCs/>
          <w:lang w:val="en-GB"/>
        </w:rPr>
        <w:t xml:space="preserve"> circumcincta</w:t>
      </w:r>
      <w:r w:rsidRPr="00883FC0">
        <w:rPr>
          <w:rFonts w:ascii="Arial" w:hAnsi="Arial" w:cs="Arial"/>
          <w:iCs/>
          <w:lang w:val="en-GB"/>
        </w:rPr>
        <w:t xml:space="preserve"> and </w:t>
      </w:r>
      <w:r w:rsidR="00317797" w:rsidRPr="00883FC0">
        <w:rPr>
          <w:rFonts w:ascii="Arial" w:hAnsi="Arial" w:cs="Arial"/>
          <w:i/>
          <w:lang w:val="en-GB"/>
        </w:rPr>
        <w:t>Haemonchus</w:t>
      </w:r>
      <w:r w:rsidRPr="00883FC0">
        <w:rPr>
          <w:rFonts w:ascii="Arial" w:hAnsi="Arial" w:cs="Arial"/>
          <w:i/>
          <w:iCs/>
          <w:lang w:val="en-GB"/>
        </w:rPr>
        <w:t xml:space="preserve"> contortus</w:t>
      </w:r>
      <w:r w:rsidRPr="00883FC0">
        <w:rPr>
          <w:rFonts w:ascii="Arial" w:hAnsi="Arial" w:cs="Arial"/>
          <w:iCs/>
          <w:lang w:val="en-GB"/>
        </w:rPr>
        <w:t>, e.g., containing a non-synonym</w:t>
      </w:r>
      <w:r w:rsidR="00BE06BB" w:rsidRPr="00883FC0">
        <w:rPr>
          <w:rFonts w:ascii="Arial" w:hAnsi="Arial" w:cs="Arial"/>
          <w:iCs/>
          <w:lang w:val="en-GB"/>
        </w:rPr>
        <w:t>ous</w:t>
      </w:r>
      <w:r w:rsidRPr="00883FC0">
        <w:rPr>
          <w:rFonts w:ascii="Arial" w:hAnsi="Arial" w:cs="Arial"/>
          <w:iCs/>
          <w:lang w:val="en-GB"/>
        </w:rPr>
        <w:t xml:space="preserve"> mutation </w:t>
      </w:r>
      <w:r w:rsidR="007B7385" w:rsidRPr="00883FC0">
        <w:rPr>
          <w:rFonts w:ascii="Arial" w:hAnsi="Arial" w:cs="Arial"/>
          <w:iCs/>
          <w:lang w:val="en-GB"/>
        </w:rPr>
        <w:t>at</w:t>
      </w:r>
      <w:r w:rsidRPr="00883FC0">
        <w:rPr>
          <w:rFonts w:ascii="Arial" w:hAnsi="Arial" w:cs="Arial"/>
          <w:iCs/>
          <w:lang w:val="en-GB"/>
        </w:rPr>
        <w:t xml:space="preserve"> the codon 167, 198 or 200, were genetic variants of a common sensitive haplotype shared by ibex and sheep (</w:t>
      </w:r>
      <w:r w:rsidR="005A0760" w:rsidRPr="00883FC0">
        <w:rPr>
          <w:rFonts w:ascii="Arial" w:hAnsi="Arial" w:cs="Arial"/>
          <w:iCs/>
          <w:lang w:val="en-GB"/>
        </w:rPr>
        <w:t>Figure 3</w:t>
      </w:r>
      <w:r w:rsidRPr="00883FC0">
        <w:rPr>
          <w:rFonts w:ascii="Arial" w:hAnsi="Arial" w:cs="Arial"/>
          <w:iCs/>
          <w:lang w:val="en-GB"/>
        </w:rPr>
        <w:t xml:space="preserve">). The resistant haplotypes of </w:t>
      </w:r>
      <w:r w:rsidR="00317797" w:rsidRPr="00883FC0">
        <w:rPr>
          <w:rFonts w:ascii="Arial" w:hAnsi="Arial" w:cs="Arial"/>
          <w:i/>
          <w:iCs/>
          <w:lang w:val="en-GB"/>
        </w:rPr>
        <w:t>Trichostrongylus</w:t>
      </w:r>
      <w:r w:rsidRPr="00883FC0">
        <w:rPr>
          <w:rFonts w:ascii="Arial" w:hAnsi="Arial" w:cs="Arial"/>
          <w:i/>
          <w:iCs/>
          <w:lang w:val="en-GB"/>
        </w:rPr>
        <w:t xml:space="preserve"> axei</w:t>
      </w:r>
      <w:r w:rsidRPr="00883FC0">
        <w:rPr>
          <w:rFonts w:ascii="Arial" w:hAnsi="Arial" w:cs="Arial"/>
          <w:iCs/>
          <w:lang w:val="en-GB"/>
        </w:rPr>
        <w:t xml:space="preserve"> and </w:t>
      </w:r>
      <w:r w:rsidR="00317797" w:rsidRPr="00883FC0">
        <w:rPr>
          <w:rFonts w:ascii="Arial" w:hAnsi="Arial" w:cs="Arial"/>
          <w:i/>
          <w:iCs/>
          <w:lang w:val="en-GB"/>
        </w:rPr>
        <w:t>Trichostrongylus</w:t>
      </w:r>
      <w:r w:rsidRPr="00883FC0">
        <w:rPr>
          <w:rFonts w:ascii="Arial" w:hAnsi="Arial" w:cs="Arial"/>
          <w:i/>
          <w:iCs/>
          <w:lang w:val="en-GB"/>
        </w:rPr>
        <w:t xml:space="preserve"> colubriformis</w:t>
      </w:r>
      <w:r w:rsidRPr="00883FC0">
        <w:rPr>
          <w:rFonts w:ascii="Arial" w:hAnsi="Arial" w:cs="Arial"/>
          <w:iCs/>
          <w:lang w:val="en-GB"/>
        </w:rPr>
        <w:t xml:space="preserve"> were more common than the sensitive haplotypes and the most similar sensitive haplotypes </w:t>
      </w:r>
      <w:r w:rsidR="007B7385" w:rsidRPr="00883FC0">
        <w:rPr>
          <w:rFonts w:ascii="Arial" w:hAnsi="Arial" w:cs="Arial"/>
          <w:iCs/>
          <w:lang w:val="en-GB"/>
        </w:rPr>
        <w:t>were</w:t>
      </w:r>
      <w:r w:rsidRPr="00883FC0">
        <w:rPr>
          <w:rFonts w:ascii="Arial" w:hAnsi="Arial" w:cs="Arial"/>
          <w:iCs/>
          <w:lang w:val="en-GB"/>
        </w:rPr>
        <w:t xml:space="preserve"> found either in both sheep and ibex samples, or only in ibex samples. Both, </w:t>
      </w:r>
      <w:r w:rsidR="00317797" w:rsidRPr="00883FC0">
        <w:rPr>
          <w:rFonts w:ascii="Arial" w:hAnsi="Arial" w:cs="Arial"/>
          <w:i/>
          <w:iCs/>
          <w:lang w:val="en-GB"/>
        </w:rPr>
        <w:t>Trichostrongylus</w:t>
      </w:r>
      <w:r w:rsidRPr="00883FC0">
        <w:rPr>
          <w:rFonts w:ascii="Arial" w:hAnsi="Arial" w:cs="Arial"/>
          <w:i/>
          <w:iCs/>
          <w:lang w:val="en-GB"/>
        </w:rPr>
        <w:t xml:space="preserve"> colubriformis</w:t>
      </w:r>
      <w:r w:rsidRPr="00883FC0">
        <w:rPr>
          <w:rFonts w:ascii="Arial" w:hAnsi="Arial" w:cs="Arial"/>
          <w:iCs/>
          <w:lang w:val="en-GB"/>
        </w:rPr>
        <w:t xml:space="preserve"> and </w:t>
      </w:r>
      <w:r w:rsidR="00317797" w:rsidRPr="00883FC0">
        <w:rPr>
          <w:rFonts w:ascii="Arial" w:hAnsi="Arial" w:cs="Arial"/>
          <w:i/>
          <w:iCs/>
          <w:lang w:val="en-GB"/>
        </w:rPr>
        <w:t>Trichostrongylus</w:t>
      </w:r>
      <w:r w:rsidRPr="00883FC0">
        <w:rPr>
          <w:rFonts w:ascii="Arial" w:hAnsi="Arial" w:cs="Arial"/>
          <w:i/>
          <w:iCs/>
          <w:lang w:val="en-GB"/>
        </w:rPr>
        <w:t xml:space="preserve"> vitrinus </w:t>
      </w:r>
      <w:r w:rsidRPr="00883FC0">
        <w:rPr>
          <w:rFonts w:ascii="Arial" w:hAnsi="Arial" w:cs="Arial"/>
          <w:iCs/>
          <w:lang w:val="en-GB"/>
        </w:rPr>
        <w:t xml:space="preserve">showed two distinct lineages, separated by ≥10 mutations. One of the lineages of </w:t>
      </w:r>
      <w:r w:rsidR="00317797" w:rsidRPr="00883FC0">
        <w:rPr>
          <w:rFonts w:ascii="Arial" w:hAnsi="Arial" w:cs="Arial"/>
          <w:i/>
          <w:color w:val="000000"/>
          <w:lang w:val="en-GB"/>
        </w:rPr>
        <w:t>Trichostrongylus</w:t>
      </w:r>
      <w:r w:rsidRPr="00883FC0">
        <w:rPr>
          <w:rFonts w:ascii="Arial" w:hAnsi="Arial" w:cs="Arial"/>
          <w:i/>
          <w:iCs/>
          <w:lang w:val="en-GB"/>
        </w:rPr>
        <w:t xml:space="preserve"> vitrinus </w:t>
      </w:r>
      <w:r w:rsidRPr="00883FC0">
        <w:rPr>
          <w:rFonts w:ascii="Arial" w:hAnsi="Arial" w:cs="Arial"/>
          <w:iCs/>
          <w:lang w:val="en-GB"/>
        </w:rPr>
        <w:t>was only found in ibex from Belledonne and an ibex from Champsaur (</w:t>
      </w:r>
      <w:r w:rsidR="005A0760" w:rsidRPr="00883FC0">
        <w:rPr>
          <w:rFonts w:ascii="Arial" w:hAnsi="Arial" w:cs="Arial"/>
          <w:iCs/>
          <w:lang w:val="en-GB"/>
        </w:rPr>
        <w:t>Figure 3</w:t>
      </w:r>
      <w:r w:rsidRPr="00883FC0">
        <w:rPr>
          <w:rFonts w:ascii="Arial" w:hAnsi="Arial" w:cs="Arial"/>
          <w:iCs/>
          <w:lang w:val="en-GB"/>
        </w:rPr>
        <w:t xml:space="preserve">) while the ASVs of the second lineage </w:t>
      </w:r>
      <w:r w:rsidR="007B7385" w:rsidRPr="00883FC0">
        <w:rPr>
          <w:rFonts w:ascii="Arial" w:hAnsi="Arial" w:cs="Arial"/>
          <w:iCs/>
          <w:lang w:val="en-GB"/>
        </w:rPr>
        <w:t>were</w:t>
      </w:r>
      <w:r w:rsidRPr="00883FC0">
        <w:rPr>
          <w:rFonts w:ascii="Arial" w:hAnsi="Arial" w:cs="Arial"/>
          <w:iCs/>
          <w:lang w:val="en-GB"/>
        </w:rPr>
        <w:t xml:space="preserve"> found both in ibex and sheep. One of the lineages of the </w:t>
      </w:r>
      <w:r w:rsidR="00317797" w:rsidRPr="00883FC0">
        <w:rPr>
          <w:rFonts w:ascii="Arial" w:hAnsi="Arial" w:cs="Arial"/>
          <w:i/>
          <w:iCs/>
          <w:lang w:val="en-GB"/>
        </w:rPr>
        <w:t xml:space="preserve">Teladorsagia </w:t>
      </w:r>
      <w:r w:rsidRPr="00883FC0">
        <w:rPr>
          <w:rFonts w:ascii="Arial" w:hAnsi="Arial" w:cs="Arial"/>
          <w:i/>
          <w:iCs/>
          <w:lang w:val="en-GB"/>
        </w:rPr>
        <w:t>circumcincta</w:t>
      </w:r>
      <w:r w:rsidRPr="00883FC0">
        <w:rPr>
          <w:rFonts w:ascii="Arial" w:hAnsi="Arial" w:cs="Arial"/>
          <w:iCs/>
          <w:lang w:val="en-GB"/>
        </w:rPr>
        <w:t xml:space="preserve"> was more diverse (</w:t>
      </w:r>
      <w:r w:rsidR="005A0760" w:rsidRPr="00883FC0">
        <w:rPr>
          <w:rFonts w:ascii="Arial" w:hAnsi="Arial" w:cs="Arial"/>
          <w:iCs/>
          <w:lang w:val="en-GB"/>
        </w:rPr>
        <w:t>Figure 3</w:t>
      </w:r>
      <w:r w:rsidRPr="00883FC0">
        <w:rPr>
          <w:rFonts w:ascii="Arial" w:hAnsi="Arial" w:cs="Arial"/>
          <w:iCs/>
          <w:lang w:val="en-GB"/>
        </w:rPr>
        <w:t xml:space="preserve">). </w:t>
      </w:r>
    </w:p>
    <w:p w14:paraId="1EE73A49" w14:textId="7D9524B8" w:rsidR="006463F4" w:rsidRPr="00883FC0" w:rsidRDefault="006463F4" w:rsidP="00A0712B">
      <w:pPr>
        <w:pStyle w:val="NormalWeb"/>
        <w:spacing w:before="0" w:beforeAutospacing="0" w:after="0" w:afterAutospacing="0" w:line="360" w:lineRule="auto"/>
        <w:jc w:val="both"/>
        <w:rPr>
          <w:rFonts w:ascii="Arial" w:hAnsi="Arial" w:cs="Arial"/>
          <w:iCs/>
          <w:color w:val="000000"/>
          <w:lang w:val="en-US"/>
        </w:rPr>
      </w:pPr>
    </w:p>
    <w:p w14:paraId="7210B011" w14:textId="10F55DA2" w:rsidR="003E01B7" w:rsidRPr="00883FC0" w:rsidRDefault="00C563C4" w:rsidP="00A0712B">
      <w:pPr>
        <w:pStyle w:val="Lgende"/>
        <w:spacing w:after="0" w:line="360" w:lineRule="auto"/>
        <w:jc w:val="both"/>
        <w:rPr>
          <w:rFonts w:ascii="Arial" w:hAnsi="Arial" w:cs="Arial"/>
          <w:b w:val="0"/>
          <w:color w:val="auto"/>
          <w:sz w:val="24"/>
          <w:lang w:val="en-GB"/>
        </w:rPr>
      </w:pPr>
      <w:bookmarkStart w:id="40" w:name="_Ref128753496"/>
      <w:bookmarkStart w:id="41" w:name="_Toc129896637"/>
      <w:bookmarkStart w:id="42" w:name="_Toc129984667"/>
      <w:bookmarkStart w:id="43" w:name="_Toc129193251"/>
      <w:r w:rsidRPr="00883FC0">
        <w:rPr>
          <w:rFonts w:ascii="Arial" w:hAnsi="Arial" w:cs="Arial"/>
          <w:b w:val="0"/>
          <w:noProof/>
          <w:color w:val="auto"/>
          <w:sz w:val="24"/>
          <w:lang w:val="en-GB"/>
        </w:rPr>
        <w:lastRenderedPageBreak/>
        <w:drawing>
          <wp:inline distT="0" distB="0" distL="0" distR="0" wp14:anchorId="3015C62D" wp14:editId="32C393F2">
            <wp:extent cx="5760720" cy="74180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_bouquet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18070"/>
                    </a:xfrm>
                    <a:prstGeom prst="rect">
                      <a:avLst/>
                    </a:prstGeom>
                  </pic:spPr>
                </pic:pic>
              </a:graphicData>
            </a:graphic>
          </wp:inline>
        </w:drawing>
      </w:r>
      <w:r w:rsidR="005A0760" w:rsidRPr="00883FC0">
        <w:rPr>
          <w:rFonts w:ascii="Arial" w:hAnsi="Arial" w:cs="Arial"/>
          <w:color w:val="auto"/>
          <w:sz w:val="24"/>
          <w:u w:val="single"/>
          <w:lang w:val="en-GB"/>
        </w:rPr>
        <w:t xml:space="preserve">Figure </w:t>
      </w:r>
      <w:proofErr w:type="gramStart"/>
      <w:r w:rsidR="005A0760" w:rsidRPr="00883FC0">
        <w:rPr>
          <w:rFonts w:ascii="Arial" w:hAnsi="Arial" w:cs="Arial"/>
          <w:color w:val="auto"/>
          <w:sz w:val="24"/>
          <w:u w:val="single"/>
          <w:lang w:val="en-GB"/>
        </w:rPr>
        <w:t>3</w:t>
      </w:r>
      <w:bookmarkEnd w:id="40"/>
      <w:r w:rsidR="003E01B7" w:rsidRPr="00883FC0">
        <w:rPr>
          <w:rFonts w:ascii="Arial" w:hAnsi="Arial" w:cs="Arial"/>
          <w:b w:val="0"/>
          <w:color w:val="auto"/>
          <w:sz w:val="24"/>
          <w:u w:val="single"/>
          <w:lang w:val="en-GB"/>
        </w:rPr>
        <w:t> </w:t>
      </w:r>
      <w:r w:rsidR="003E01B7" w:rsidRPr="00883FC0">
        <w:rPr>
          <w:rFonts w:ascii="Arial" w:hAnsi="Arial" w:cs="Arial"/>
          <w:b w:val="0"/>
          <w:iCs/>
          <w:color w:val="auto"/>
          <w:sz w:val="24"/>
          <w:u w:val="single"/>
          <w:lang w:val="en-GB"/>
        </w:rPr>
        <w:t>:</w:t>
      </w:r>
      <w:proofErr w:type="gramEnd"/>
      <w:r w:rsidR="003E01B7" w:rsidRPr="00883FC0">
        <w:rPr>
          <w:rFonts w:ascii="Arial" w:hAnsi="Arial" w:cs="Arial"/>
          <w:b w:val="0"/>
          <w:iCs/>
          <w:color w:val="auto"/>
          <w:sz w:val="24"/>
          <w:u w:val="single"/>
          <w:lang w:val="en-GB"/>
        </w:rPr>
        <w:t xml:space="preserve"> M</w:t>
      </w:r>
      <w:r w:rsidR="003E01B7" w:rsidRPr="00883FC0">
        <w:rPr>
          <w:rFonts w:ascii="Arial" w:hAnsi="Arial" w:cs="Arial"/>
          <w:b w:val="0"/>
          <w:color w:val="auto"/>
          <w:sz w:val="24"/>
          <w:u w:val="single"/>
          <w:lang w:val="en-GB"/>
        </w:rPr>
        <w:t>edian joining network of β-tubulin isotype 1 haplotypes.</w:t>
      </w:r>
      <w:r w:rsidR="003E01B7" w:rsidRPr="00883FC0">
        <w:rPr>
          <w:rFonts w:ascii="Arial" w:hAnsi="Arial" w:cs="Arial"/>
          <w:b w:val="0"/>
          <w:color w:val="auto"/>
          <w:sz w:val="24"/>
          <w:lang w:val="en-GB"/>
        </w:rPr>
        <w:t xml:space="preserve"> Each point represents a unique haplotype, and the </w:t>
      </w:r>
      <w:proofErr w:type="spellStart"/>
      <w:r w:rsidR="003E01B7" w:rsidRPr="00883FC0">
        <w:rPr>
          <w:rFonts w:ascii="Arial" w:hAnsi="Arial" w:cs="Arial"/>
          <w:b w:val="0"/>
          <w:color w:val="auto"/>
          <w:sz w:val="24"/>
          <w:lang w:val="en-GB"/>
        </w:rPr>
        <w:t>colors</w:t>
      </w:r>
      <w:proofErr w:type="spellEnd"/>
      <w:r w:rsidR="003E01B7" w:rsidRPr="00883FC0">
        <w:rPr>
          <w:rFonts w:ascii="Arial" w:hAnsi="Arial" w:cs="Arial"/>
          <w:b w:val="0"/>
          <w:color w:val="auto"/>
          <w:sz w:val="24"/>
          <w:lang w:val="en-GB"/>
        </w:rPr>
        <w:t xml:space="preserve"> correspond to the host species in which the haplotype was detected. The size of the point is proportional to the number of samples in which the haplotype was found. S: sensitive haplotype, R: resistant </w:t>
      </w:r>
      <w:r w:rsidR="003E01B7" w:rsidRPr="00883FC0">
        <w:rPr>
          <w:rFonts w:ascii="Arial" w:hAnsi="Arial" w:cs="Arial"/>
          <w:b w:val="0"/>
          <w:color w:val="auto"/>
          <w:sz w:val="24"/>
          <w:lang w:val="en-GB"/>
        </w:rPr>
        <w:lastRenderedPageBreak/>
        <w:t>haplotype. The tag above the points indicat</w:t>
      </w:r>
      <w:r w:rsidR="007B7385" w:rsidRPr="00883FC0">
        <w:rPr>
          <w:rFonts w:ascii="Arial" w:hAnsi="Arial" w:cs="Arial"/>
          <w:b w:val="0"/>
          <w:color w:val="auto"/>
          <w:sz w:val="24"/>
          <w:lang w:val="en-GB"/>
        </w:rPr>
        <w:t>es</w:t>
      </w:r>
      <w:r w:rsidR="003E01B7" w:rsidRPr="00883FC0">
        <w:rPr>
          <w:rFonts w:ascii="Arial" w:hAnsi="Arial" w:cs="Arial"/>
          <w:b w:val="0"/>
          <w:color w:val="auto"/>
          <w:sz w:val="24"/>
          <w:lang w:val="en-GB"/>
        </w:rPr>
        <w:t xml:space="preserve"> the name of the mutation, based on the codon position and the substitution of the amino acid.</w:t>
      </w:r>
      <w:bookmarkEnd w:id="41"/>
      <w:bookmarkEnd w:id="42"/>
    </w:p>
    <w:p w14:paraId="0FCC75D5" w14:textId="77777777" w:rsidR="00193710" w:rsidRPr="00883FC0" w:rsidRDefault="00193710" w:rsidP="00A0712B">
      <w:pPr>
        <w:spacing w:after="0" w:line="360" w:lineRule="auto"/>
        <w:rPr>
          <w:rFonts w:ascii="Arial" w:hAnsi="Arial" w:cs="Arial"/>
          <w:lang w:val="en-GB"/>
        </w:rPr>
      </w:pPr>
    </w:p>
    <w:p w14:paraId="374AE76D" w14:textId="77777777" w:rsidR="006463F4" w:rsidRPr="00883FC0" w:rsidRDefault="006463F4" w:rsidP="00A0712B">
      <w:pPr>
        <w:pStyle w:val="Titre2"/>
        <w:spacing w:before="0" w:line="360" w:lineRule="auto"/>
        <w:jc w:val="center"/>
        <w:rPr>
          <w:rFonts w:ascii="Arial" w:hAnsi="Arial" w:cs="Arial"/>
          <w:b/>
          <w:color w:val="000000" w:themeColor="text1"/>
          <w:sz w:val="28"/>
          <w:lang w:val="en-US"/>
        </w:rPr>
      </w:pPr>
      <w:r w:rsidRPr="00883FC0">
        <w:rPr>
          <w:rFonts w:ascii="Arial" w:hAnsi="Arial" w:cs="Arial"/>
          <w:b/>
          <w:color w:val="000000" w:themeColor="text1"/>
          <w:sz w:val="28"/>
          <w:lang w:val="en-US"/>
        </w:rPr>
        <w:t>Discussion</w:t>
      </w:r>
      <w:bookmarkEnd w:id="43"/>
    </w:p>
    <w:p w14:paraId="4F9D1471" w14:textId="77777777" w:rsidR="006463F4" w:rsidRPr="00883FC0" w:rsidRDefault="006463F4" w:rsidP="00A0712B">
      <w:pPr>
        <w:spacing w:after="0" w:line="360" w:lineRule="auto"/>
        <w:jc w:val="both"/>
        <w:rPr>
          <w:rFonts w:ascii="Arial" w:hAnsi="Arial" w:cs="Arial"/>
          <w:sz w:val="24"/>
          <w:szCs w:val="24"/>
          <w:lang w:val="en-US"/>
        </w:rPr>
      </w:pPr>
    </w:p>
    <w:p w14:paraId="371D3D70" w14:textId="1327AA91" w:rsidR="003E01B7" w:rsidRPr="00883FC0" w:rsidRDefault="003E01B7" w:rsidP="00A0712B">
      <w:pPr>
        <w:spacing w:after="0" w:line="360" w:lineRule="auto"/>
        <w:ind w:firstLine="360"/>
        <w:jc w:val="both"/>
        <w:rPr>
          <w:rFonts w:ascii="Arial" w:hAnsi="Arial" w:cs="Arial"/>
          <w:sz w:val="24"/>
          <w:szCs w:val="24"/>
          <w:lang w:val="en-GB"/>
        </w:rPr>
      </w:pPr>
      <w:bookmarkStart w:id="44" w:name="_Hlk158235484"/>
      <w:r w:rsidRPr="00883FC0">
        <w:rPr>
          <w:rFonts w:ascii="Arial" w:hAnsi="Arial" w:cs="Arial"/>
          <w:sz w:val="24"/>
          <w:szCs w:val="24"/>
          <w:lang w:val="en-GB"/>
        </w:rPr>
        <w:t>Because</w:t>
      </w:r>
      <w:r w:rsidR="00E368AD" w:rsidRPr="00883FC0">
        <w:rPr>
          <w:rFonts w:ascii="Arial" w:hAnsi="Arial" w:cs="Arial"/>
          <w:sz w:val="24"/>
          <w:szCs w:val="24"/>
          <w:lang w:val="en-GB"/>
        </w:rPr>
        <w:t xml:space="preserve"> resident Alpine ibex use pastures grazed by transhumant sheep during </w:t>
      </w:r>
      <w:r w:rsidR="00AC7D32" w:rsidRPr="00AC7D32">
        <w:rPr>
          <w:rFonts w:ascii="Arial" w:hAnsi="Arial" w:cs="Arial"/>
          <w:sz w:val="24"/>
          <w:szCs w:val="24"/>
          <w:highlight w:val="yellow"/>
          <w:lang w:val="en-GB"/>
        </w:rPr>
        <w:t>the</w:t>
      </w:r>
      <w:r w:rsidR="00AC7D32">
        <w:rPr>
          <w:rFonts w:ascii="Arial" w:hAnsi="Arial" w:cs="Arial"/>
          <w:sz w:val="24"/>
          <w:szCs w:val="24"/>
          <w:lang w:val="en-GB"/>
        </w:rPr>
        <w:t xml:space="preserve"> </w:t>
      </w:r>
      <w:r w:rsidR="00E368AD" w:rsidRPr="00883FC0">
        <w:rPr>
          <w:rFonts w:ascii="Arial" w:hAnsi="Arial" w:cs="Arial"/>
          <w:sz w:val="24"/>
          <w:szCs w:val="24"/>
          <w:lang w:val="en-GB"/>
        </w:rPr>
        <w:t>summer</w:t>
      </w:r>
      <w:r w:rsidRPr="00883FC0">
        <w:rPr>
          <w:rFonts w:ascii="Arial" w:hAnsi="Arial" w:cs="Arial"/>
          <w:sz w:val="24"/>
          <w:szCs w:val="24"/>
          <w:lang w:val="en-GB"/>
        </w:rPr>
        <w:t>,</w:t>
      </w:r>
      <w:r w:rsidR="00E368AD" w:rsidRPr="00883FC0">
        <w:rPr>
          <w:rFonts w:ascii="Arial" w:hAnsi="Arial" w:cs="Arial"/>
          <w:sz w:val="24"/>
          <w:szCs w:val="24"/>
          <w:lang w:val="en-GB"/>
        </w:rPr>
        <w:t xml:space="preserve"> but not concurrently</w:t>
      </w:r>
      <w:bookmarkEnd w:id="44"/>
      <w:r w:rsidR="00E368AD" w:rsidRPr="00883FC0">
        <w:rPr>
          <w:rFonts w:ascii="Arial" w:hAnsi="Arial" w:cs="Arial"/>
          <w:sz w:val="24"/>
          <w:szCs w:val="24"/>
          <w:lang w:val="en-GB"/>
        </w:rPr>
        <w:t>,</w:t>
      </w:r>
      <w:r w:rsidRPr="00883FC0">
        <w:rPr>
          <w:rFonts w:ascii="Arial" w:hAnsi="Arial" w:cs="Arial"/>
          <w:sz w:val="24"/>
          <w:szCs w:val="24"/>
          <w:lang w:val="en-GB"/>
        </w:rPr>
        <w:t xml:space="preserve"> we sought to assess the extent of nematode sharing between these two host species. Specifically, we investigated the presence of anthelmintic</w:t>
      </w:r>
      <w:r w:rsidR="00BD78E8" w:rsidRPr="00883FC0">
        <w:rPr>
          <w:rFonts w:ascii="Arial" w:hAnsi="Arial" w:cs="Arial"/>
          <w:sz w:val="24"/>
          <w:szCs w:val="24"/>
          <w:lang w:val="en-GB"/>
        </w:rPr>
        <w:t>-</w:t>
      </w:r>
      <w:r w:rsidRPr="00883FC0">
        <w:rPr>
          <w:rFonts w:ascii="Arial" w:hAnsi="Arial" w:cs="Arial"/>
          <w:sz w:val="24"/>
          <w:szCs w:val="24"/>
          <w:lang w:val="en-GB"/>
        </w:rPr>
        <w:t>resistant nematode strains in sheep and ibex to determine the role of transhumant sheep in contaminat</w:t>
      </w:r>
      <w:r w:rsidR="00BD78E8" w:rsidRPr="00883FC0">
        <w:rPr>
          <w:rFonts w:ascii="Arial" w:hAnsi="Arial" w:cs="Arial"/>
          <w:sz w:val="24"/>
          <w:szCs w:val="24"/>
          <w:lang w:val="en-GB"/>
        </w:rPr>
        <w:t xml:space="preserve">ing </w:t>
      </w:r>
      <w:r w:rsidRPr="00883FC0">
        <w:rPr>
          <w:rFonts w:ascii="Arial" w:hAnsi="Arial" w:cs="Arial"/>
          <w:sz w:val="24"/>
          <w:szCs w:val="24"/>
          <w:lang w:val="en-GB"/>
        </w:rPr>
        <w:t>alpine pastures, and</w:t>
      </w:r>
      <w:r w:rsidR="00BD78E8" w:rsidRPr="00883FC0">
        <w:rPr>
          <w:rFonts w:ascii="Arial" w:hAnsi="Arial" w:cs="Arial"/>
          <w:sz w:val="24"/>
          <w:szCs w:val="24"/>
          <w:lang w:val="en-GB"/>
        </w:rPr>
        <w:t xml:space="preserve"> whether</w:t>
      </w:r>
      <w:r w:rsidRPr="00883FC0">
        <w:rPr>
          <w:rFonts w:ascii="Arial" w:hAnsi="Arial" w:cs="Arial"/>
          <w:sz w:val="24"/>
          <w:szCs w:val="24"/>
          <w:lang w:val="en-GB"/>
        </w:rPr>
        <w:t xml:space="preserve"> ibex may </w:t>
      </w:r>
      <w:r w:rsidR="00AC7D32" w:rsidRPr="00AC7D32">
        <w:rPr>
          <w:rFonts w:ascii="Arial" w:hAnsi="Arial" w:cs="Arial"/>
          <w:sz w:val="24"/>
          <w:szCs w:val="24"/>
          <w:highlight w:val="yellow"/>
          <w:lang w:val="en-GB"/>
        </w:rPr>
        <w:t>contribute to</w:t>
      </w:r>
      <w:r w:rsidRPr="00883FC0">
        <w:rPr>
          <w:rFonts w:ascii="Arial" w:hAnsi="Arial" w:cs="Arial"/>
          <w:sz w:val="24"/>
          <w:szCs w:val="24"/>
          <w:lang w:val="en-GB"/>
        </w:rPr>
        <w:t xml:space="preserve"> the </w:t>
      </w:r>
      <w:r w:rsidR="00BD78E8" w:rsidRPr="00883FC0">
        <w:rPr>
          <w:rFonts w:ascii="Arial" w:hAnsi="Arial" w:cs="Arial"/>
          <w:sz w:val="24"/>
          <w:szCs w:val="24"/>
          <w:lang w:val="en-GB"/>
        </w:rPr>
        <w:t>circulation</w:t>
      </w:r>
      <w:r w:rsidR="00A64C41" w:rsidRPr="00883FC0">
        <w:rPr>
          <w:rFonts w:ascii="Arial" w:hAnsi="Arial" w:cs="Arial"/>
          <w:sz w:val="24"/>
          <w:szCs w:val="24"/>
          <w:lang w:val="en-GB"/>
        </w:rPr>
        <w:t xml:space="preserve"> and maintenance </w:t>
      </w:r>
      <w:r w:rsidRPr="00883FC0">
        <w:rPr>
          <w:rFonts w:ascii="Arial" w:hAnsi="Arial" w:cs="Arial"/>
          <w:sz w:val="24"/>
          <w:szCs w:val="24"/>
          <w:lang w:val="en-GB"/>
        </w:rPr>
        <w:t>of anthelmintic resistant nematodes. We used a metabarcoding approach based</w:t>
      </w:r>
      <w:r w:rsidR="00AC7D32">
        <w:rPr>
          <w:rFonts w:ascii="Arial" w:hAnsi="Arial" w:cs="Arial"/>
          <w:sz w:val="24"/>
          <w:szCs w:val="24"/>
          <w:lang w:val="en-GB"/>
        </w:rPr>
        <w:t xml:space="preserve"> </w:t>
      </w:r>
      <w:r w:rsidR="00AC7D32" w:rsidRPr="00AC7D32">
        <w:rPr>
          <w:rFonts w:ascii="Arial" w:hAnsi="Arial" w:cs="Arial"/>
          <w:sz w:val="24"/>
          <w:szCs w:val="24"/>
          <w:highlight w:val="yellow"/>
          <w:lang w:val="en-GB"/>
        </w:rPr>
        <w:t>on</w:t>
      </w:r>
      <w:r w:rsidRPr="00883FC0">
        <w:rPr>
          <w:rFonts w:ascii="Arial" w:hAnsi="Arial" w:cs="Arial"/>
          <w:sz w:val="24"/>
          <w:szCs w:val="24"/>
          <w:lang w:val="en-GB"/>
        </w:rPr>
        <w:t xml:space="preserve"> the sequencing of ITS2 and β-tubulin to demonstrate that </w:t>
      </w:r>
      <w:r w:rsidR="00BD78E8" w:rsidRPr="00883FC0">
        <w:rPr>
          <w:rFonts w:ascii="Arial" w:hAnsi="Arial" w:cs="Arial"/>
          <w:sz w:val="24"/>
          <w:szCs w:val="24"/>
          <w:lang w:val="en-GB"/>
        </w:rPr>
        <w:t xml:space="preserve">both </w:t>
      </w:r>
      <w:r w:rsidRPr="00883FC0">
        <w:rPr>
          <w:rFonts w:ascii="Arial" w:hAnsi="Arial" w:cs="Arial"/>
          <w:sz w:val="24"/>
          <w:szCs w:val="24"/>
          <w:lang w:val="en-GB"/>
        </w:rPr>
        <w:t>sheep and ibex were infected by the same gastrointestinal nematode species and shared anthelmintic</w:t>
      </w:r>
      <w:r w:rsidR="00BD78E8" w:rsidRPr="00883FC0">
        <w:rPr>
          <w:rFonts w:ascii="Arial" w:hAnsi="Arial" w:cs="Arial"/>
          <w:sz w:val="24"/>
          <w:szCs w:val="24"/>
          <w:lang w:val="en-GB"/>
        </w:rPr>
        <w:t>-</w:t>
      </w:r>
      <w:r w:rsidRPr="00883FC0">
        <w:rPr>
          <w:rFonts w:ascii="Arial" w:hAnsi="Arial" w:cs="Arial"/>
          <w:sz w:val="24"/>
          <w:szCs w:val="24"/>
          <w:lang w:val="en-GB"/>
        </w:rPr>
        <w:t xml:space="preserve">resistant strains, despite the absence of sheep on alpine pastures </w:t>
      </w:r>
      <w:r w:rsidR="00BD78E8" w:rsidRPr="00883FC0">
        <w:rPr>
          <w:rFonts w:ascii="Arial" w:hAnsi="Arial" w:cs="Arial"/>
          <w:sz w:val="24"/>
          <w:szCs w:val="24"/>
          <w:lang w:val="en-GB"/>
        </w:rPr>
        <w:t>for much</w:t>
      </w:r>
      <w:r w:rsidRPr="00883FC0">
        <w:rPr>
          <w:rFonts w:ascii="Arial" w:hAnsi="Arial" w:cs="Arial"/>
          <w:sz w:val="24"/>
          <w:szCs w:val="24"/>
          <w:lang w:val="en-GB"/>
        </w:rPr>
        <w:t xml:space="preserve"> of the year and therefore a narrow temporal window f</w:t>
      </w:r>
      <w:r w:rsidR="007B7385" w:rsidRPr="00883FC0">
        <w:rPr>
          <w:rFonts w:ascii="Arial" w:hAnsi="Arial" w:cs="Arial"/>
          <w:sz w:val="24"/>
          <w:szCs w:val="24"/>
          <w:lang w:val="en-GB"/>
        </w:rPr>
        <w:t>or</w:t>
      </w:r>
      <w:r w:rsidRPr="00883FC0">
        <w:rPr>
          <w:rFonts w:ascii="Arial" w:hAnsi="Arial" w:cs="Arial"/>
          <w:sz w:val="24"/>
          <w:szCs w:val="24"/>
          <w:lang w:val="en-GB"/>
        </w:rPr>
        <w:t xml:space="preserve"> contamination.</w:t>
      </w:r>
    </w:p>
    <w:p w14:paraId="77CAD03E" w14:textId="388114A6" w:rsidR="003E01B7" w:rsidRPr="00883FC0" w:rsidRDefault="003E01B7"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 xml:space="preserve">In </w:t>
      </w:r>
      <w:r w:rsidR="00BD78E8" w:rsidRPr="00883FC0">
        <w:rPr>
          <w:rFonts w:ascii="Arial" w:hAnsi="Arial" w:cs="Arial"/>
          <w:sz w:val="24"/>
          <w:szCs w:val="24"/>
          <w:lang w:val="en-GB"/>
        </w:rPr>
        <w:t>line</w:t>
      </w:r>
      <w:r w:rsidRPr="00883FC0">
        <w:rPr>
          <w:rFonts w:ascii="Arial" w:hAnsi="Arial" w:cs="Arial"/>
          <w:sz w:val="24"/>
          <w:szCs w:val="24"/>
          <w:lang w:val="en-GB"/>
        </w:rPr>
        <w:t xml:space="preserve"> with other studies investigating the gastrointestinal nematodes of sheep and ibex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{"citationID":"a1etq2bk9f0","properties":{"formattedCitation":"(Burgess et al., 2012; Gruner et al., 2006; Redman et al., 2019; Zaffaroni et al., 2000)","plainCitation":"(Burgess et al., 2012; Gruner et al., 2006; Redman et al., 2019; Zaffaroni et al., 2000)","noteIndex":0},"citationItems":[{"id":2440,"uris":["http://zotero.org/users/local/NciqjDvn/items/MSJNKVT2"],"itemData":{"id":2440,"type":"article-journal","abstract":"A survey of sheep farms from across the UK was conducted to establish information on farming practices, the trichostrongylid nematode species present and anthelmintic usage. Questionnaires and faecal samples were returned from 118 farms. First stage larvae (L1) were cultured from faecal samples and used for PCR analysis to determine the presence/absence of selected trichostrongylid species. Teladorsagia circumcincta was the only species present on 100% of farms. Haemonchus contortus was found on </w:instrText>
      </w:r>
      <w:r w:rsidR="00991FDE" w:rsidRPr="00883FC0">
        <w:rPr>
          <w:rFonts w:ascii="Cambria Math" w:hAnsi="Cambria Math" w:cs="Cambria Math"/>
          <w:sz w:val="24"/>
          <w:szCs w:val="24"/>
          <w:lang w:val="en-GB"/>
        </w:rPr>
        <w:instrText>∼</w:instrText>
      </w:r>
      <w:r w:rsidR="00991FDE" w:rsidRPr="00883FC0">
        <w:rPr>
          <w:rFonts w:ascii="Arial" w:hAnsi="Arial" w:cs="Arial"/>
          <w:sz w:val="24"/>
          <w:szCs w:val="24"/>
          <w:lang w:val="en-GB"/>
        </w:rPr>
        <w:instrText xml:space="preserve">50% of farms and was widespread throughout the UK. The most common Trichostrongylus spp. was T. vitrinus, found on 95% of farms. Determining the anthelmintic dose rate based on the weight of the heaviest animal in the flock to avoid under dosing was carried out on 58% of farms and was associated with a significantly lower mean epg (p&lt;0.001) in lambs. However, the weight of animals was only estimated (as opposed to animals weighed) on 32% of farms. Macrocyclic lactones (ML) were the most commonly used anthelmintic class for ewes, whilst benzimidazoles (BZ) were the most widely used in lambs. Twenty-two of the surveyed farms had confirmed anthelmintic resistance, of these, 18 had BZ resistance, one had levamisole (LEV) resistance and 3 had resistance to both BZ and LEV. No farms in this survey reported resistance to ML. Location had a significant effect on the incidence of anthelmintic resistance on the farms in this survey (p=0.002). There was evidence of a lower risk of anthelmintic resistance occurring on farms from Scotland compared to those in England (pf=0.047) and Wales (pf=0.012). Farm type, flock type and open or closed status did not have any significant effect on the incidence of anthelmintic resistance when all other factors were taken into consideration.","container-title":"Veterinary Parasitology","DOI":"10.1016/j.vetpar.2012.04.009","ISSN":"0304-4017","issue":"2","journalAbbreviation":"Veterinary Parasitology","language":"en","page":"299-307","source":"ScienceDirect","title":"A survey of the trichostrongylid nematode species present on UK sheep farms and associated anthelmintic control practices","volume":"189","author":[{"family":"Burgess","given":"Charlotte G. S."},{"family":"Bartley","given":"Yvonne"},{"family":"Redman","given":"Elizabeth"},{"family":"Skuce","given":"Philip J."},{"family":"Nath","given":"Mintu"},{"family":"Whitelaw","given":"Fiona"},{"family":"Tait","given":"Andrew"},{"family":"Gilleard","given":"John S."},{"family":"Jackson","given":"Frank"}],"issued":{"date-parts":[["2012",10,26]]}}},{"id":4168,"uris":["http://zotero.org/users/local/NciqjDvn/items/WPF62G3Q"],"itemData":{"id":4168,"type":"article-journal","abstract":"Animal Research, formerly Annales de Zootechnie, publishes original articles, reviews, notes and symposium proceedings concerning research on farm animals","container-title":"Animal Research","DOI":"10.1051/animres:2006009","ISSN":"1627-3583, 1627-3591","issue":"3","journalAbbreviation":"Anim. Res.","language":"en","license":"INRA, EDP Sciences","note":"publisher: EDP Sciences","page":"177-188","source":"animres-edpsciences-org.univ-smb.idm.oclc.org","title":"Analysis of the relationship between land use and the parasitism of sheep during their transhumance","volume":"55","author":[{"family":"Gruner","given":"Lucas"},{"family":"Sauvé","given":"Christine"},{"family":"Boulard","given":"Chantal"},{"family":"Calamel","given":"Maurice"}],"issued":{"date-parts":[["2006",5,1]]}}},{"id":2144,"uris":["http://zotero.org/users/local/NciqjDvn/items/UYZAHKUW"],"itemData":{"id":2144,"type":"article-journal","abstract":"We have validated ITS-2 rDNA nemabiome next-generation amplicon sequencing to determine relative species abundance of gastrointestinal nematode species in ovine fecal samples. In order to determine species representation biases, ITS-2 rDNA amplicon sequencing was applied to mock communities or field populations with known proportions of L3 for eight of the major ovine gastrointestinal nematode species: Teladorsagia circumcincta, Trichostrongylus vitrinus, Haemonchus contortus, Cooperia curticei, Trichostrongylus axei, Trichostrongylus colubriformis, Chabertia ovina and Oesophagostumum venulosum. Correction factors, calculated from this data, were shown to reduce species representation biases when applied to an independent set of field samples of known composition. We compared ITS-2 rDNA amplicon sequencing data that was generated from harvested eggs, freshly hatched L1 or L3 larvae following fecal culture and no statistically significant differences were found for the more abundant parasite species. We then applied the validated ITS-2 rDNA nemabiome amplicon sequencing assay to a set of archived L1 gastrointestinal nematode populations, collected in 2008 from fecal samples from 93 groups of 20 ewes and 61 groups of 20 lambs derived from 99 UK sheep farms. The presence of the major gastrointestinal nematode species had previously been determined on this large sample set by species-specific PCR. We show how the ITS-2rDNA amplicon sequencing data provided much more detailed information on species abundance than the previous species-specific PCR. This new data represents the most comprehensive overview of the relative abundance of the major gastrointestinal nematode species across UK sheep farms to date. Substantial variance in the relative abundance of both T. circumcincta and T. vitrinus between farms was revealed with the former species being of statistically significantly higher abundance in all three regions sampled (England, Scotland and Wales). The data also revealed that the relative abundance of T. circumcinta was statistically significantly higher in ewes than in lambs with the opposite pattern being the case for T. vitrinus. The nemabiome sequencing data also clearly illustrated the sporadic nature and skewed distribution of H. controtus across UK sheep farms as well as a higher relative abundance on farms from England compared to Wales and Scotland. The nemabiome survey also provides the first widescale data on the relative abundance of the two major large intestinal nematodes C. ovina and O. venulosum. This work validates ITS-2 rDNA nemabiome sequencing for use in sheep and illustrates the power of the approach for large scale surveillance of ovine gastrointestinal nematodes.","container-title":"Veterinary Parasitology","DOI":"10.1016/j.vetpar.2019.108933","ISSN":"0304-4017","journalAbbreviation":"Veterinary Parasitology","language":"en","page":"108933","source":"ScienceDirect","title":"Validation of ITS-2 rDNA nemabiome sequencing for ovine gastrointestinal nematodes and its application to a large scale survey of UK sheep farms","volume":"275","author":[{"family":"Redman","given":"Elizabeth"},{"family":"Queiroz","given":"Camila"},{"family":"Bartley","given":"David J."},{"family":"Levy","given":"Michel"},{"family":"Avramenko","given":"Russell W."},{"family":"Gilleard","given":"John Stuart"}],"issued":{"date-parts":[["2019",11,1]]}}},{"id":612,"uris":["http://zotero.org/users/local/NciqjDvn/items/7B7UYZCJ"],"itemData":{"id":612,"type":"article-journal","abstract":"Abomasums from 641 alpine wild ruminants representing five different species (Cervus elaphus, Capreolus capreolus, Rupicapra rupicapra, Capra ibex, Ovis musimon) and from 19 domestic sheep (Ovis aries) from alpine areas were examined in order to investigate the host-specificity of abomasal helminths. Nine out of 20 helminth species were found in at least five different host species. A discriminant analysis was able to significantly discriminate the hosts on the basis of their helminth community composition with the exception of O. musimon and O. aries. Based on the correlation between each variable represented by helminth species with the most explanatory discriminant axis, it was possible to classify helminths into specialists and generalists. Specialists are represented by the dominant species in a community of an host species or family while generalists appear in the communities of many different hosts as intermediate species. Due to the pathogenic potential of some of these generalist species (i.e. Haemonchus contortus, Trichostrongylus axei) and their ability to adapt easily to the conditions found in several different hosts, they appear to be the most important from a sanitary point of view.","container-title":"Veterinary Parasitology","DOI":"10.1016/S0304-4017(00)00240-5","ISSN":"0304-4017","issue":"3","journalAbbreviation":"Vet. Parasitol","language":"en","page":"221-230","source":"ScienceDirect","title":"Host specificity of abomasal nematodes in free ranging alpine ruminants","volume":"90","author":[{"family":"Zaffaroni","given":"Enrico"},{"family":"Teresa Manfredi","given":"Maria"},{"family":"Citterio","given":"Carlo"},{"family":"Sala","given":"Marcello"},{"family":"Piccolo","given":"Giuliana"},{"family":"Lanfranchi","given":"Paolo"}],"issued":{"date-parts":[["2000",6,27]]}}}],"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(Burgess et al., 2012; Gruner et al., 2006; Redman et al., 2019; Zaffaroni et al., 2000)</w:t>
      </w:r>
      <w:r w:rsidRPr="00883FC0">
        <w:rPr>
          <w:rFonts w:ascii="Arial" w:hAnsi="Arial" w:cs="Arial"/>
          <w:sz w:val="24"/>
          <w:szCs w:val="24"/>
          <w:lang w:val="en-GB"/>
        </w:rPr>
        <w:fldChar w:fldCharType="end"/>
      </w:r>
      <w:r w:rsidRPr="00883FC0">
        <w:rPr>
          <w:rFonts w:ascii="Arial" w:hAnsi="Arial" w:cs="Arial"/>
          <w:sz w:val="24"/>
          <w:szCs w:val="24"/>
          <w:lang w:val="en-GB"/>
        </w:rPr>
        <w:t xml:space="preserve">, the most prevalent and abundant species in both host species </w:t>
      </w:r>
      <w:r w:rsidR="00BD78E8" w:rsidRPr="00883FC0">
        <w:rPr>
          <w:rFonts w:ascii="Arial" w:hAnsi="Arial" w:cs="Arial"/>
          <w:sz w:val="24"/>
          <w:szCs w:val="24"/>
          <w:lang w:val="en-GB"/>
        </w:rPr>
        <w:t>was</w:t>
      </w:r>
      <w:r w:rsidRPr="00883FC0">
        <w:rPr>
          <w:rFonts w:ascii="Arial" w:hAnsi="Arial" w:cs="Arial"/>
          <w:sz w:val="24"/>
          <w:szCs w:val="24"/>
          <w:lang w:val="en-GB"/>
        </w:rPr>
        <w:t xml:space="preserve"> </w:t>
      </w:r>
      <w:r w:rsidRPr="00883FC0">
        <w:rPr>
          <w:rFonts w:ascii="Arial" w:hAnsi="Arial" w:cs="Arial"/>
          <w:i/>
          <w:sz w:val="24"/>
          <w:szCs w:val="24"/>
          <w:lang w:val="en-GB"/>
        </w:rPr>
        <w:t>Teladorsagia circumcincta</w:t>
      </w:r>
      <w:r w:rsidRPr="00883FC0">
        <w:rPr>
          <w:rFonts w:ascii="Arial" w:hAnsi="Arial" w:cs="Arial"/>
          <w:sz w:val="24"/>
          <w:szCs w:val="24"/>
          <w:lang w:val="en-GB"/>
        </w:rPr>
        <w:t xml:space="preserve">. Next, </w:t>
      </w:r>
      <w:r w:rsidRPr="00883FC0">
        <w:rPr>
          <w:rFonts w:ascii="Arial" w:hAnsi="Arial" w:cs="Arial"/>
          <w:i/>
          <w:sz w:val="24"/>
          <w:szCs w:val="24"/>
          <w:lang w:val="en-GB"/>
        </w:rPr>
        <w:t>Trichostrongylus vitrinus</w:t>
      </w:r>
      <w:r w:rsidRPr="00883FC0">
        <w:rPr>
          <w:rFonts w:ascii="Arial" w:hAnsi="Arial" w:cs="Arial"/>
          <w:sz w:val="24"/>
          <w:szCs w:val="24"/>
          <w:lang w:val="en-GB"/>
        </w:rPr>
        <w:t xml:space="preserve"> </w:t>
      </w:r>
      <w:r w:rsidR="00BD78E8" w:rsidRPr="00883FC0">
        <w:rPr>
          <w:rFonts w:ascii="Arial" w:hAnsi="Arial" w:cs="Arial"/>
          <w:sz w:val="24"/>
          <w:szCs w:val="24"/>
          <w:lang w:val="en-GB"/>
        </w:rPr>
        <w:t>was</w:t>
      </w:r>
      <w:r w:rsidRPr="00883FC0">
        <w:rPr>
          <w:rFonts w:ascii="Arial" w:hAnsi="Arial" w:cs="Arial"/>
          <w:sz w:val="24"/>
          <w:szCs w:val="24"/>
          <w:lang w:val="en-GB"/>
        </w:rPr>
        <w:t xml:space="preserve"> moderately prevalent, but not abundant in sheep </w:t>
      </w:r>
      <w:r w:rsidR="00291B07" w:rsidRPr="00883FC0">
        <w:rPr>
          <w:rFonts w:ascii="Arial" w:hAnsi="Arial" w:cs="Arial"/>
          <w:sz w:val="24"/>
          <w:szCs w:val="24"/>
          <w:lang w:val="en-GB"/>
        </w:rPr>
        <w:t>or</w:t>
      </w:r>
      <w:r w:rsidRPr="00883FC0">
        <w:rPr>
          <w:rFonts w:ascii="Arial" w:hAnsi="Arial" w:cs="Arial"/>
          <w:sz w:val="24"/>
          <w:szCs w:val="24"/>
          <w:lang w:val="en-GB"/>
        </w:rPr>
        <w:t xml:space="preserve"> ibex nemabiome</w:t>
      </w:r>
      <w:r w:rsidR="007B7385" w:rsidRPr="00883FC0">
        <w:rPr>
          <w:rFonts w:ascii="Arial" w:hAnsi="Arial" w:cs="Arial"/>
          <w:sz w:val="24"/>
          <w:szCs w:val="24"/>
          <w:lang w:val="en-GB"/>
        </w:rPr>
        <w:t>s</w:t>
      </w:r>
      <w:r w:rsidRPr="00883FC0">
        <w:rPr>
          <w:rFonts w:ascii="Arial" w:hAnsi="Arial" w:cs="Arial"/>
          <w:sz w:val="24"/>
          <w:szCs w:val="24"/>
          <w:lang w:val="en-GB"/>
        </w:rPr>
        <w:t xml:space="preserve">. </w:t>
      </w:r>
      <w:r w:rsidR="00291B07" w:rsidRPr="00883FC0">
        <w:rPr>
          <w:rFonts w:ascii="Arial" w:hAnsi="Arial" w:cs="Arial"/>
          <w:sz w:val="24"/>
          <w:szCs w:val="24"/>
          <w:lang w:val="en-GB"/>
        </w:rPr>
        <w:t xml:space="preserve">These results are </w:t>
      </w:r>
      <w:r w:rsidR="00AC7D32" w:rsidRPr="00AC7D32">
        <w:rPr>
          <w:rFonts w:ascii="Arial" w:hAnsi="Arial" w:cs="Arial"/>
          <w:sz w:val="24"/>
          <w:szCs w:val="24"/>
          <w:highlight w:val="yellow"/>
          <w:lang w:val="en-GB"/>
        </w:rPr>
        <w:t>consistent</w:t>
      </w:r>
      <w:r w:rsidRPr="00883FC0">
        <w:rPr>
          <w:rFonts w:ascii="Arial" w:hAnsi="Arial" w:cs="Arial"/>
          <w:sz w:val="24"/>
          <w:szCs w:val="24"/>
          <w:lang w:val="en-GB"/>
        </w:rPr>
        <w:t xml:space="preserve"> with the </w:t>
      </w:r>
      <w:r w:rsidR="00291B07" w:rsidRPr="00883FC0">
        <w:rPr>
          <w:rFonts w:ascii="Arial" w:hAnsi="Arial" w:cs="Arial"/>
          <w:sz w:val="24"/>
          <w:szCs w:val="24"/>
          <w:lang w:val="en-GB"/>
        </w:rPr>
        <w:t xml:space="preserve">year-round </w:t>
      </w:r>
      <w:r w:rsidRPr="00883FC0">
        <w:rPr>
          <w:rFonts w:ascii="Arial" w:hAnsi="Arial" w:cs="Arial"/>
          <w:sz w:val="24"/>
          <w:szCs w:val="24"/>
          <w:lang w:val="en-GB"/>
        </w:rPr>
        <w:t>climatic conditions</w:t>
      </w:r>
      <w:r w:rsidR="00291B07" w:rsidRPr="00883FC0">
        <w:rPr>
          <w:rFonts w:ascii="Arial" w:hAnsi="Arial" w:cs="Arial"/>
          <w:sz w:val="24"/>
          <w:szCs w:val="24"/>
          <w:lang w:val="en-GB"/>
        </w:rPr>
        <w:t xml:space="preserve"> as</w:t>
      </w:r>
      <w:r w:rsidRPr="00883FC0">
        <w:rPr>
          <w:rFonts w:ascii="Arial" w:hAnsi="Arial" w:cs="Arial"/>
          <w:sz w:val="24"/>
          <w:szCs w:val="24"/>
          <w:lang w:val="en-GB"/>
        </w:rPr>
        <w:t xml:space="preserve"> these two nematode species</w:t>
      </w:r>
      <w:r w:rsidR="00AC7D32">
        <w:rPr>
          <w:rFonts w:ascii="Arial" w:hAnsi="Arial" w:cs="Arial"/>
          <w:sz w:val="24"/>
          <w:szCs w:val="24"/>
          <w:lang w:val="en-GB"/>
        </w:rPr>
        <w:t xml:space="preserve">, </w:t>
      </w:r>
      <w:r w:rsidR="00AC7D32" w:rsidRPr="00AC7D32">
        <w:rPr>
          <w:rFonts w:ascii="Arial" w:hAnsi="Arial" w:cs="Arial"/>
          <w:sz w:val="24"/>
          <w:szCs w:val="24"/>
          <w:highlight w:val="yellow"/>
          <w:lang w:val="en-GB"/>
        </w:rPr>
        <w:t>along with</w:t>
      </w:r>
      <w:r w:rsidRPr="00883FC0">
        <w:rPr>
          <w:rFonts w:ascii="Arial" w:hAnsi="Arial" w:cs="Arial"/>
          <w:sz w:val="24"/>
          <w:szCs w:val="24"/>
          <w:lang w:val="en-GB"/>
        </w:rPr>
        <w:t xml:space="preserve"> </w:t>
      </w:r>
      <w:proofErr w:type="spellStart"/>
      <w:r w:rsidRPr="00883FC0">
        <w:rPr>
          <w:rFonts w:ascii="Arial" w:hAnsi="Arial" w:cs="Arial"/>
          <w:i/>
          <w:sz w:val="24"/>
          <w:szCs w:val="24"/>
          <w:lang w:val="en-GB"/>
        </w:rPr>
        <w:t>Marshallagia</w:t>
      </w:r>
      <w:proofErr w:type="spellEnd"/>
      <w:r w:rsidRPr="00883FC0">
        <w:rPr>
          <w:rFonts w:ascii="Arial" w:hAnsi="Arial" w:cs="Arial"/>
          <w:sz w:val="24"/>
          <w:szCs w:val="24"/>
          <w:lang w:val="en-GB"/>
        </w:rPr>
        <w:t xml:space="preserve"> spp., are better adapted to cold temperatures than </w:t>
      </w:r>
      <w:r w:rsidR="00BD78E8" w:rsidRPr="00883FC0">
        <w:rPr>
          <w:rFonts w:ascii="Arial" w:hAnsi="Arial" w:cs="Arial"/>
          <w:sz w:val="24"/>
          <w:szCs w:val="24"/>
          <w:lang w:val="en-GB"/>
        </w:rPr>
        <w:t xml:space="preserve">the </w:t>
      </w:r>
      <w:r w:rsidRPr="00883FC0">
        <w:rPr>
          <w:rFonts w:ascii="Arial" w:hAnsi="Arial" w:cs="Arial"/>
          <w:sz w:val="24"/>
          <w:szCs w:val="24"/>
          <w:lang w:val="en-GB"/>
        </w:rPr>
        <w:t xml:space="preserve">other nematode species detected in this study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{"citationID":"a2mlj2htmp","properties":{"formattedCitation":"(O\\uc0\\u8217{}Connor et al., 2006; Zaffaroni et al., 2000)","plainCitation":"(O’Connor et al., 2006; Zaffaroni et al., 2000)","noteIndex":0},"citationItems":[{"id":1341,"uris":["http://zotero.org/users/local/NciqjDvn/items/3RJNMR4E"],"itemData":{"id":1341,"type":"article-journal","abstract":"Significant developments over recent decades make it timely to review the ecology of the major gastrointestinal nematode (GIN) species of sheep. These include the relentless development and spread of anthelmintic resistance in all of the major sheep production regions of the world, and the consequent drive towards integrated parasite management (IPM) systems incorporating non-chemotherapeutic strategies such as grazing management. The success of such programs is dependent on a detailed understanding of the environmental influences on the free-living stages of the nematode lifecycle. Major reviews of the subject were conducted prior to 1980, however considerable work has been completed since, including the development of mathematical models describing the epidemiology of GIN infection. Knowledge of the temperature thresholds for free-living development has also improved, while investigations of moisture influences and interactions with temperature have allowed more effective exploitation of environmental effects for IPM. This review re-evaluates our understanding of the factors that determine the success or failure of the free-living phases of the lifecycle in light of these developments. Temperature and moisture are the dominant influences on the free-living stages of Haemonchus contortus, Teladorsagia circumcincta and Trichostrongylus colubriformis, with the effects of pasture conditions playing a significant modulating role. Early in the free-living phase, the developmental success of the three GIN species is limited by susceptibility to cold temperatures. In general, H. contortus is most susceptible, followed by T. colubriformis and then T. circumcincta. The length of the development cycle is dependent largely on temperature, with development rate increasing at warmer temperatures. However, in order for development to proceed to the infective larval stage, addition of moisture is generally required. There has been considerably less work quantifying the effects of moisture on free-living development, although it is clear that H. contortus is most susceptible to desiccation during the pre-infective stages. Once the infective stage is reached, the influences of temperature and moisture on survival are less important, resulting in considerable survival times under conditions lethal to pre-infective stages. However, hot, dry conditions can be lethal for infective larvae of all three species, while extreme cold is also lethal with significant species variation. While the existing body of knowledge is substantial, the interpretation of many studies and comparison between them is complicated by inadequate description of, or variation in, the environmental measurements used. Confounding the effects of environmental variables on development to infective stage is the migration of larvae from the faeces and subsequent survival on pasture. There is a need to build on recent efforts to explore interaction between the effects of temperature and moisture, and also the trend to more closely simulate field conditions in laboratory studies. We propose a logical framework for future ecological investigations to overcome some of these problems, facilitate the development of a more integrated dataset on the subject and improve prediction of free-living development.","container-title":"Veterinary Parasitology","DOI":"10.1016/j.vetpar.2006.08.035","ISSN":"0304-4017","issue":"1","journalAbbreviation":"Vet. Parasitol","language":"en","page":"1-15","source":"ScienceDirect","title":"Ecology of the free-living stages of major trichostrongylid parasites of sheep","volume":"142","author":[{"family":"O’Connor","given":"Lauren J."},{"family":"Walkden-Brown","given":"Stephen W."},{"family":"Kahn","given":"Lewis P."}],"issued":{"date-parts":[["2006",11,30]]}}},{"id":612,"uris":["http://zotero.org/users/local/NciqjDvn/items/7B7UYZCJ"],"itemData":{"id":612,"type":"article-journal","abstract":"Abomasums from 641 alpine wild ruminants representing five different species (Cervus elaphus, Capreolus capreolus, Rupicapra rupicapra, Capra ibex, Ovis musimon) and from 19 domestic sheep (Ovis aries) from alpine areas were examined in order to investigate the host-specificity of abomasal helminths. Nine out of 20 helminth species were found in at least five different host species. A discriminant analysis was able to significantly discriminate the hosts on the basis of their helminth community composition with the exception of O. musimon and O. aries. Based on the correlation between each variable represented by helminth species with the most explanatory discriminant axis, it was possible to classify helminths into specialists and generalists. Specialists are represented by the dominant species in a community of an host species or family while generalists appear in the communities of many different hosts as intermediate species. Due to the pathogenic potential of some of these generalist species (i.e. Haemonchus contortus, Trichostrongylus axei) and their ability to adapt easily to the conditions found in several different hosts, they appear to be the most important from a sanitary point of view.","container-title":"Veterinary Parasitology","DOI":"10.1016/S0304-4017(00)00240-5","ISSN":"0304-4017","issue":"3","journalAbbreviation":"Vet. Parasitol","language":"en","page":"221-230","source":"ScienceDirect","title":"Host specificity of abomasal nematodes in free ranging alpine ruminants","volume":"90","author":[{"family":"Zaffaroni","given":"Enrico"},{"family":"Teresa Manfredi","given":"Maria"},{"family":"Citterio","given":"Carlo"},{"family":"Sala","given":"Marcello"},{"family":"Piccolo","given":"Giuliana"},{"family":"Lanfranchi","given":"Paolo"}],"issued":{"date-parts":[["2000",6,27]]}}}],"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(O’Connor et al., 2006; Zaffaroni et al., 2000)</w:t>
      </w:r>
      <w:r w:rsidRPr="00883FC0">
        <w:rPr>
          <w:rFonts w:ascii="Arial" w:hAnsi="Arial" w:cs="Arial"/>
          <w:sz w:val="24"/>
          <w:szCs w:val="24"/>
          <w:lang w:val="en-GB"/>
        </w:rPr>
        <w:fldChar w:fldCharType="end"/>
      </w:r>
      <w:r w:rsidRPr="00883FC0">
        <w:rPr>
          <w:rFonts w:ascii="Arial" w:hAnsi="Arial" w:cs="Arial"/>
          <w:sz w:val="24"/>
          <w:szCs w:val="24"/>
          <w:lang w:val="en-GB"/>
        </w:rPr>
        <w:t>. The</w:t>
      </w:r>
      <w:r w:rsidR="007B7385" w:rsidRPr="00883FC0">
        <w:rPr>
          <w:rFonts w:ascii="Arial" w:hAnsi="Arial" w:cs="Arial"/>
          <w:sz w:val="24"/>
          <w:szCs w:val="24"/>
          <w:lang w:val="en-GB"/>
        </w:rPr>
        <w:t xml:space="preserve"> studied</w:t>
      </w:r>
      <w:r w:rsidRPr="00883FC0">
        <w:rPr>
          <w:rFonts w:ascii="Arial" w:hAnsi="Arial" w:cs="Arial"/>
          <w:sz w:val="24"/>
          <w:szCs w:val="24"/>
          <w:lang w:val="en-GB"/>
        </w:rPr>
        <w:t xml:space="preserve"> sheep flocks originate from</w:t>
      </w:r>
      <w:r w:rsidR="007B7385" w:rsidRPr="00883FC0">
        <w:rPr>
          <w:rFonts w:ascii="Arial" w:hAnsi="Arial" w:cs="Arial"/>
          <w:sz w:val="24"/>
          <w:szCs w:val="24"/>
          <w:lang w:val="en-GB"/>
        </w:rPr>
        <w:t xml:space="preserve"> the</w:t>
      </w:r>
      <w:r w:rsidRPr="00883FC0">
        <w:rPr>
          <w:rFonts w:ascii="Arial" w:hAnsi="Arial" w:cs="Arial"/>
          <w:sz w:val="24"/>
          <w:szCs w:val="24"/>
          <w:lang w:val="en-GB"/>
        </w:rPr>
        <w:t xml:space="preserve"> French </w:t>
      </w:r>
      <w:r w:rsidR="00BD78E8" w:rsidRPr="00883FC0">
        <w:rPr>
          <w:rFonts w:ascii="Arial" w:hAnsi="Arial" w:cs="Arial"/>
          <w:sz w:val="24"/>
          <w:szCs w:val="24"/>
          <w:lang w:val="en-GB"/>
        </w:rPr>
        <w:t xml:space="preserve">plains </w:t>
      </w:r>
      <w:r w:rsidRPr="00883FC0">
        <w:rPr>
          <w:rFonts w:ascii="Arial" w:hAnsi="Arial" w:cs="Arial"/>
          <w:sz w:val="24"/>
          <w:szCs w:val="24"/>
          <w:lang w:val="en-GB"/>
        </w:rPr>
        <w:t>and/or the south of France and are dr</w:t>
      </w:r>
      <w:r w:rsidR="00DF0F79" w:rsidRPr="00883FC0">
        <w:rPr>
          <w:rFonts w:ascii="Arial" w:hAnsi="Arial" w:cs="Arial"/>
          <w:sz w:val="24"/>
          <w:szCs w:val="24"/>
          <w:lang w:val="en-GB"/>
        </w:rPr>
        <w:t>i</w:t>
      </w:r>
      <w:r w:rsidRPr="00883FC0">
        <w:rPr>
          <w:rFonts w:ascii="Arial" w:hAnsi="Arial" w:cs="Arial"/>
          <w:sz w:val="24"/>
          <w:szCs w:val="24"/>
          <w:lang w:val="en-GB"/>
        </w:rPr>
        <w:t>v</w:t>
      </w:r>
      <w:r w:rsidR="00DF0F79" w:rsidRPr="00883FC0">
        <w:rPr>
          <w:rFonts w:ascii="Arial" w:hAnsi="Arial" w:cs="Arial"/>
          <w:sz w:val="24"/>
          <w:szCs w:val="24"/>
          <w:lang w:val="en-GB"/>
        </w:rPr>
        <w:t>en</w:t>
      </w:r>
      <w:r w:rsidRPr="00883FC0">
        <w:rPr>
          <w:rFonts w:ascii="Arial" w:hAnsi="Arial" w:cs="Arial"/>
          <w:sz w:val="24"/>
          <w:szCs w:val="24"/>
          <w:lang w:val="en-GB"/>
        </w:rPr>
        <w:t xml:space="preserve"> in</w:t>
      </w:r>
      <w:r w:rsidR="00DF0F79" w:rsidRPr="00883FC0">
        <w:rPr>
          <w:rFonts w:ascii="Arial" w:hAnsi="Arial" w:cs="Arial"/>
          <w:sz w:val="24"/>
          <w:szCs w:val="24"/>
          <w:lang w:val="en-GB"/>
        </w:rPr>
        <w:t>to</w:t>
      </w:r>
      <w:r w:rsidRPr="00883FC0">
        <w:rPr>
          <w:rFonts w:ascii="Arial" w:hAnsi="Arial" w:cs="Arial"/>
          <w:sz w:val="24"/>
          <w:szCs w:val="24"/>
          <w:lang w:val="en-GB"/>
        </w:rPr>
        <w:t xml:space="preserve"> mountain areas in early summer. </w:t>
      </w:r>
      <w:r w:rsidR="00DF0F79" w:rsidRPr="00883FC0">
        <w:rPr>
          <w:rFonts w:ascii="Arial" w:hAnsi="Arial" w:cs="Arial"/>
          <w:sz w:val="24"/>
          <w:szCs w:val="24"/>
          <w:lang w:val="en-GB"/>
        </w:rPr>
        <w:t>Consequently</w:t>
      </w:r>
      <w:r w:rsidRPr="00883FC0">
        <w:rPr>
          <w:rFonts w:ascii="Arial" w:hAnsi="Arial" w:cs="Arial"/>
          <w:sz w:val="24"/>
          <w:szCs w:val="24"/>
          <w:lang w:val="en-GB"/>
        </w:rPr>
        <w:t>, their nemabiome at the time of sampling is representative of the gastrointestinal nematode communities present in sheep</w:t>
      </w:r>
      <w:r w:rsidR="00DF0F79" w:rsidRPr="00883FC0">
        <w:rPr>
          <w:rFonts w:ascii="Arial" w:hAnsi="Arial" w:cs="Arial"/>
          <w:sz w:val="24"/>
          <w:szCs w:val="24"/>
          <w:lang w:val="en-GB"/>
        </w:rPr>
        <w:t xml:space="preserve"> on</w:t>
      </w:r>
      <w:r w:rsidRPr="00883FC0">
        <w:rPr>
          <w:rFonts w:ascii="Arial" w:hAnsi="Arial" w:cs="Arial"/>
          <w:sz w:val="24"/>
          <w:szCs w:val="24"/>
          <w:lang w:val="en-GB"/>
        </w:rPr>
        <w:t xml:space="preserve"> the farm, </w:t>
      </w:r>
      <w:r w:rsidR="00DF0F79" w:rsidRPr="00883FC0">
        <w:rPr>
          <w:rFonts w:ascii="Arial" w:hAnsi="Arial" w:cs="Arial"/>
          <w:sz w:val="24"/>
          <w:szCs w:val="24"/>
          <w:lang w:val="en-GB"/>
        </w:rPr>
        <w:t>prior to</w:t>
      </w:r>
      <w:r w:rsidRPr="00883FC0">
        <w:rPr>
          <w:rFonts w:ascii="Arial" w:hAnsi="Arial" w:cs="Arial"/>
          <w:sz w:val="24"/>
          <w:szCs w:val="24"/>
          <w:lang w:val="en-GB"/>
        </w:rPr>
        <w:t xml:space="preserve"> transhumance. In a similar </w:t>
      </w:r>
      <w:r w:rsidR="00DF0F79" w:rsidRPr="00883FC0">
        <w:rPr>
          <w:rFonts w:ascii="Arial" w:hAnsi="Arial" w:cs="Arial"/>
          <w:sz w:val="24"/>
          <w:szCs w:val="24"/>
          <w:lang w:val="en-GB"/>
        </w:rPr>
        <w:t>context</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1C5C07" w:rsidRPr="00883FC0">
        <w:rPr>
          <w:rFonts w:ascii="Arial" w:hAnsi="Arial" w:cs="Arial"/>
          <w:sz w:val="24"/>
          <w:szCs w:val="24"/>
          <w:lang w:val="en-GB"/>
        </w:rPr>
        <w:instrText xml:space="preserve"> ADDIN ZOTERO_ITEM CSL_CITATION {"citationID":"V9vDPpPQ","properties":{"formattedCitation":"(Gruner et al., 2006)","plainCitation":"(Gruner et al., 2006)","dontUpdate":true,"noteIndex":0},"citationItems":[{"id":4168,"uris":["http://zotero.org/users/local/NciqjDvn/items/WPF62G3Q"],"itemData":{"id":4168,"type":"article-journal","abstract":"Animal Research, formerly Annales de Zootechnie, publishes original articles, reviews, notes and symposium proceedings concerning research on farm animals","container-title":"Animal Research","DOI":"10.1051/animres:2006009","ISSN":"1627-3583, 1627-3591","issue":"3","journalAbbreviation":"Anim. Res.","language":"en","license":"INRA, EDP Sciences","note":"publisher: EDP Sciences","page":"177-188","source":"animres-edpsciences-org.univ-smb.idm.oclc.org","title":"Analysis of the relationship between land use and the parasitism of sheep during their transhumance","volume":"55","author":[{"family":"Gruner","given":"Lucas"},{"family":"Sauvé","given":"Christine"},{"family":"Boulard","given":"Chantal"},{"family":"Calamel","given":"Maurice"}],"issued":{"date-parts":[["2006",5,1]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 xml:space="preserve">Gruner et al., </w:t>
      </w:r>
      <w:r w:rsidR="0071434E" w:rsidRPr="00883FC0">
        <w:rPr>
          <w:rFonts w:ascii="Arial" w:hAnsi="Arial" w:cs="Arial"/>
          <w:sz w:val="24"/>
          <w:lang w:val="en-US"/>
        </w:rPr>
        <w:t>(</w:t>
      </w:r>
      <w:r w:rsidR="00991FDE" w:rsidRPr="00883FC0">
        <w:rPr>
          <w:rFonts w:ascii="Arial" w:hAnsi="Arial" w:cs="Arial"/>
          <w:sz w:val="24"/>
          <w:lang w:val="en-US"/>
        </w:rPr>
        <w:t>2006)</w:t>
      </w:r>
      <w:r w:rsidRPr="00883FC0">
        <w:rPr>
          <w:rFonts w:ascii="Arial" w:hAnsi="Arial" w:cs="Arial"/>
          <w:sz w:val="24"/>
          <w:szCs w:val="24"/>
          <w:lang w:val="en-GB"/>
        </w:rPr>
        <w:fldChar w:fldCharType="end"/>
      </w:r>
      <w:r w:rsidRPr="00883FC0">
        <w:rPr>
          <w:rFonts w:ascii="Arial" w:hAnsi="Arial" w:cs="Arial"/>
          <w:sz w:val="24"/>
          <w:szCs w:val="24"/>
          <w:lang w:val="en-GB"/>
        </w:rPr>
        <w:t xml:space="preserve"> observed </w:t>
      </w:r>
      <w:r w:rsidR="00DF0F79" w:rsidRPr="00883FC0">
        <w:rPr>
          <w:rFonts w:ascii="Arial" w:hAnsi="Arial" w:cs="Arial"/>
          <w:sz w:val="24"/>
          <w:szCs w:val="24"/>
          <w:lang w:val="en-GB"/>
        </w:rPr>
        <w:t xml:space="preserve">a </w:t>
      </w:r>
      <w:r w:rsidRPr="00883FC0">
        <w:rPr>
          <w:rFonts w:ascii="Arial" w:hAnsi="Arial" w:cs="Arial"/>
          <w:sz w:val="24"/>
          <w:szCs w:val="24"/>
          <w:lang w:val="en-GB"/>
        </w:rPr>
        <w:t xml:space="preserve">high prevalence of </w:t>
      </w:r>
      <w:r w:rsidR="00317797" w:rsidRPr="00883FC0">
        <w:rPr>
          <w:rFonts w:ascii="Arial" w:hAnsi="Arial" w:cs="Arial"/>
          <w:i/>
          <w:iCs/>
          <w:sz w:val="24"/>
          <w:szCs w:val="24"/>
          <w:lang w:val="en-GB"/>
        </w:rPr>
        <w:t>Teladorsagia</w:t>
      </w:r>
      <w:r w:rsidRPr="00883FC0">
        <w:rPr>
          <w:rFonts w:ascii="Arial" w:hAnsi="Arial" w:cs="Arial"/>
          <w:i/>
          <w:sz w:val="24"/>
          <w:szCs w:val="24"/>
          <w:lang w:val="en-GB"/>
        </w:rPr>
        <w:t xml:space="preserve"> circumcincta</w:t>
      </w:r>
      <w:r w:rsidRPr="00883FC0">
        <w:rPr>
          <w:rFonts w:ascii="Arial" w:hAnsi="Arial" w:cs="Arial"/>
          <w:sz w:val="24"/>
          <w:szCs w:val="24"/>
          <w:lang w:val="en-GB"/>
        </w:rPr>
        <w:t xml:space="preserve"> in two of three transhumant sheep flocks at the beginning of the grazing season in the </w:t>
      </w:r>
      <w:r w:rsidR="00DF0F79" w:rsidRPr="00883FC0">
        <w:rPr>
          <w:rFonts w:ascii="Arial" w:hAnsi="Arial" w:cs="Arial"/>
          <w:sz w:val="24"/>
          <w:szCs w:val="24"/>
          <w:lang w:val="en-GB"/>
        </w:rPr>
        <w:t>south</w:t>
      </w:r>
      <w:r w:rsidR="007B7385" w:rsidRPr="00883FC0">
        <w:rPr>
          <w:rFonts w:ascii="Arial" w:hAnsi="Arial" w:cs="Arial"/>
          <w:sz w:val="24"/>
          <w:szCs w:val="24"/>
          <w:lang w:val="en-GB"/>
        </w:rPr>
        <w:t>ern</w:t>
      </w:r>
      <w:r w:rsidRPr="00883FC0">
        <w:rPr>
          <w:rFonts w:ascii="Arial" w:hAnsi="Arial" w:cs="Arial"/>
          <w:sz w:val="24"/>
          <w:szCs w:val="24"/>
          <w:lang w:val="en-GB"/>
        </w:rPr>
        <w:t xml:space="preserve"> Alps. </w:t>
      </w:r>
      <w:r w:rsidR="00DF0F79" w:rsidRPr="00883FC0">
        <w:rPr>
          <w:rFonts w:ascii="Arial" w:hAnsi="Arial" w:cs="Arial"/>
          <w:sz w:val="24"/>
          <w:szCs w:val="24"/>
          <w:lang w:val="en-GB"/>
        </w:rPr>
        <w:t>Furthermore</w:t>
      </w:r>
      <w:r w:rsidRPr="00883FC0">
        <w:rPr>
          <w:rFonts w:ascii="Arial" w:hAnsi="Arial" w:cs="Arial"/>
          <w:sz w:val="24"/>
          <w:szCs w:val="24"/>
          <w:lang w:val="en-GB"/>
        </w:rPr>
        <w:t xml:space="preserve">, transhumant sheep flocks </w:t>
      </w:r>
      <w:r w:rsidR="00DF0F79" w:rsidRPr="00883FC0">
        <w:rPr>
          <w:rFonts w:ascii="Arial" w:hAnsi="Arial" w:cs="Arial"/>
          <w:sz w:val="24"/>
          <w:szCs w:val="24"/>
          <w:lang w:val="en-GB"/>
        </w:rPr>
        <w:t>appear</w:t>
      </w:r>
      <w:r w:rsidRPr="00883FC0">
        <w:rPr>
          <w:rFonts w:ascii="Arial" w:hAnsi="Arial" w:cs="Arial"/>
          <w:sz w:val="24"/>
          <w:szCs w:val="24"/>
          <w:lang w:val="en-GB"/>
        </w:rPr>
        <w:t xml:space="preserve"> to ingest mainly </w:t>
      </w:r>
      <w:r w:rsidR="00317797" w:rsidRPr="00883FC0">
        <w:rPr>
          <w:rFonts w:ascii="Arial" w:hAnsi="Arial" w:cs="Arial"/>
          <w:i/>
          <w:sz w:val="24"/>
          <w:szCs w:val="24"/>
          <w:lang w:val="en-GB"/>
        </w:rPr>
        <w:t>Teladorsagia</w:t>
      </w:r>
      <w:r w:rsidRPr="00883FC0">
        <w:rPr>
          <w:rFonts w:ascii="Arial" w:hAnsi="Arial" w:cs="Arial"/>
          <w:i/>
          <w:sz w:val="24"/>
          <w:szCs w:val="24"/>
          <w:lang w:val="en-GB"/>
        </w:rPr>
        <w:t xml:space="preserve"> circumcincta</w:t>
      </w:r>
      <w:r w:rsidRPr="00883FC0">
        <w:rPr>
          <w:rFonts w:ascii="Arial" w:hAnsi="Arial" w:cs="Arial"/>
          <w:sz w:val="24"/>
          <w:szCs w:val="24"/>
          <w:lang w:val="en-GB"/>
        </w:rPr>
        <w:t xml:space="preserve"> when grazing in the mountain</w:t>
      </w:r>
      <w:r w:rsidR="00DF0F79" w:rsidRPr="00883FC0">
        <w:rPr>
          <w:rFonts w:ascii="Arial" w:hAnsi="Arial" w:cs="Arial"/>
          <w:sz w:val="24"/>
          <w:szCs w:val="24"/>
          <w:lang w:val="en-GB"/>
        </w:rPr>
        <w:t>s,</w:t>
      </w:r>
      <w:r w:rsidRPr="00883FC0">
        <w:rPr>
          <w:rFonts w:ascii="Arial" w:hAnsi="Arial" w:cs="Arial"/>
          <w:sz w:val="24"/>
          <w:szCs w:val="24"/>
          <w:lang w:val="en-GB"/>
        </w:rPr>
        <w:t xml:space="preserve"> as this parasite remains the dominant species identified in feces and tracer lambs during </w:t>
      </w:r>
      <w:r w:rsidR="00DF0F79" w:rsidRPr="00883FC0">
        <w:rPr>
          <w:rFonts w:ascii="Arial" w:hAnsi="Arial" w:cs="Arial"/>
          <w:sz w:val="24"/>
          <w:szCs w:val="24"/>
          <w:lang w:val="en-GB"/>
        </w:rPr>
        <w:t xml:space="preserve">the </w:t>
      </w:r>
      <w:r w:rsidRPr="00883FC0">
        <w:rPr>
          <w:rFonts w:ascii="Arial" w:hAnsi="Arial" w:cs="Arial"/>
          <w:sz w:val="24"/>
          <w:szCs w:val="24"/>
          <w:lang w:val="en-GB"/>
        </w:rPr>
        <w:t xml:space="preserve">summer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{"citationID":"zPWEVPcs","properties":{"formattedCitation":"(Gruner et al., 2006)","plainCitation":"(Gruner et al., 2006)","noteIndex":0},"citationItems":[{"id":4168,"uris":["http://zotero.org/users/local/NciqjDvn/items/WPF62G3Q"],"itemData":{"id":4168,"type":"article-journal","abstract":"Animal Research, formerly Annales de Zootechnie, publishes original articles, reviews, notes and symposium proceedings concerning research on farm animals","container-title":"Animal Research","DOI":"10.1051/animres:2006009","ISSN":"1627-3583, 1627-3591","issue":"3","journalAbbreviation":"Anim. Res.","language":"en","license":"INRA, EDP Sciences","note":"publisher: EDP Sciences","page":"177-188","source":"animres-edpsciences-org.univ-smb.idm.oclc.org","title":"Analysis of the relationship between land use and the parasitism of sheep during their transhumance","volume":"55","author":[{"family":"Gruner","given":"Lucas"},{"family":"Sauvé","given":"Christine"},{"family":"Boulard","given":"Chantal"},{"family":"Calamel","given":"Maurice"}],"issued":{"date-parts":[["2006",5,1]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(Gruner et al., 2006)</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DF0F79" w:rsidRPr="00883FC0">
        <w:rPr>
          <w:rFonts w:ascii="Arial" w:hAnsi="Arial" w:cs="Arial"/>
          <w:sz w:val="24"/>
          <w:szCs w:val="24"/>
          <w:lang w:val="en-GB"/>
        </w:rPr>
        <w:t>P</w:t>
      </w:r>
      <w:r w:rsidRPr="00883FC0">
        <w:rPr>
          <w:rFonts w:ascii="Arial" w:hAnsi="Arial" w:cs="Arial"/>
          <w:sz w:val="24"/>
          <w:szCs w:val="24"/>
          <w:lang w:val="en-GB"/>
        </w:rPr>
        <w:t xml:space="preserve">astoral activity in mountainous areas of France </w:t>
      </w:r>
      <w:r w:rsidR="00DF0F79" w:rsidRPr="00883FC0">
        <w:rPr>
          <w:rFonts w:ascii="Arial" w:hAnsi="Arial" w:cs="Arial"/>
          <w:sz w:val="24"/>
          <w:szCs w:val="24"/>
          <w:lang w:val="en-GB"/>
        </w:rPr>
        <w:t>could therefore</w:t>
      </w:r>
      <w:r w:rsidRPr="00883FC0">
        <w:rPr>
          <w:rFonts w:ascii="Arial" w:hAnsi="Arial" w:cs="Arial"/>
          <w:sz w:val="24"/>
          <w:szCs w:val="24"/>
          <w:lang w:val="en-GB"/>
        </w:rPr>
        <w:t xml:space="preserve"> </w:t>
      </w:r>
      <w:proofErr w:type="spellStart"/>
      <w:r w:rsidRPr="00883FC0">
        <w:rPr>
          <w:rFonts w:ascii="Arial" w:hAnsi="Arial" w:cs="Arial"/>
          <w:sz w:val="24"/>
          <w:szCs w:val="24"/>
          <w:lang w:val="en-GB"/>
        </w:rPr>
        <w:t>favor</w:t>
      </w:r>
      <w:proofErr w:type="spellEnd"/>
      <w:r w:rsidRPr="00883FC0">
        <w:rPr>
          <w:rFonts w:ascii="Arial" w:hAnsi="Arial" w:cs="Arial"/>
          <w:sz w:val="24"/>
          <w:szCs w:val="24"/>
          <w:lang w:val="en-GB"/>
        </w:rPr>
        <w:t xml:space="preserve"> nematode </w:t>
      </w:r>
      <w:r w:rsidRPr="00883FC0">
        <w:rPr>
          <w:rFonts w:ascii="Arial" w:hAnsi="Arial" w:cs="Arial"/>
          <w:sz w:val="24"/>
          <w:szCs w:val="24"/>
          <w:lang w:val="en-GB"/>
        </w:rPr>
        <w:lastRenderedPageBreak/>
        <w:t xml:space="preserve">species more adapted to cool and wet environmental conditions, such as </w:t>
      </w:r>
      <w:r w:rsidR="00317797" w:rsidRPr="00883FC0">
        <w:rPr>
          <w:rFonts w:ascii="Arial" w:hAnsi="Arial" w:cs="Arial"/>
          <w:i/>
          <w:sz w:val="24"/>
          <w:szCs w:val="24"/>
          <w:lang w:val="en-GB"/>
        </w:rPr>
        <w:t>Teladorsagia</w:t>
      </w:r>
      <w:r w:rsidRPr="00883FC0">
        <w:rPr>
          <w:rFonts w:ascii="Arial" w:hAnsi="Arial" w:cs="Arial"/>
          <w:i/>
          <w:sz w:val="24"/>
          <w:szCs w:val="24"/>
          <w:lang w:val="en-GB"/>
        </w:rPr>
        <w:t xml:space="preserve"> circumcincta</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{"citationID":"n3xmHHtG","properties":{"formattedCitation":"(O\\uc0\\u8217{}Connor et al., 2006)","plainCitation":"(O’Connor et al., 2006)","noteIndex":0},"citationItems":[{"id":1341,"uris":["http://zotero.org/users/local/NciqjDvn/items/3RJNMR4E"],"itemData":{"id":1341,"type":"article-journal","abstract":"Significant developments over recent decades make it timely to review the ecology of the major gastrointestinal nematode (GIN) species of sheep. These include the relentless development and spread of anthelmintic resistance in all of the major sheep production regions of the world, and the consequent drive towards integrated parasite management (IPM) systems incorporating non-chemotherapeutic strategies such as grazing management. The success of such programs is dependent on a detailed understanding of the environmental influences on the free-living stages of the nematode lifecycle. Major reviews of the subject were conducted prior to 1980, however considerable work has been completed since, including the development of mathematical models describing the epidemiology of GIN infection. Knowledge of the temperature thresholds for free-living development has also improved, while investigations of moisture influences and interactions with temperature have allowed more effective exploitation of environmental effects for IPM. This review re-evaluates our understanding of the factors that determine the success or failure of the free-living phases of the lifecycle in light of these developments. Temperature and moisture are the dominant influences on the free-living stages of Haemonchus contortus, Teladorsagia circumcincta and Trichostrongylus colubriformis, with the effects of pasture conditions playing a significant modulating role. Early in the free-living phase, the developmental success of the three GIN species is limited by susceptibility to cold temperatures. In general, H. contortus is most susceptible, followed by T. colubriformis and then T. circumcincta. The length of the development cycle is dependent largely on temperature, with development rate increasing at warmer temperatures. However, in order for development to proceed to the infective larval stage, addition of moisture is generally required. There has been considerably less work quantifying the effects of moisture on free-living development, although it is clear that H. contortus is most susceptible to desiccation during the pre-infective stages. Once the infective stage is reached, the influences of temperature and moisture on survival are less important, resulting in considerable survival times under conditions lethal to pre-infective stages. However, hot, dry conditions can be lethal for infective larvae of all three species, while extreme cold is also lethal with significant species variation. While the existing body of knowledge is substantial, the interpretation of many studies and comparison between them is complicated by inadequate description of, or variation in, the environmental measurements used. Confounding the effects of environmental variables on development to infective stage is the migration of larvae from the faeces and subsequent survival on pasture. There is a need to build on recent efforts to explore interaction between the effects of temperature and moisture, and also the trend to more closely simulate field conditions in laboratory studies. We propose a logical framework for future ecological investigations to overcome some of these problems, facilitate the development of a more integrated dataset on the subject and improve prediction of free-living development.","container-title":"Veterinary Parasitology","DOI":"10.1016/j.vetpar.2006.08.035","ISSN":"0304-4017","issue":"1","journalAbbreviation":"Vet. Parasitol","language":"en","page":"1-15","source":"ScienceDirect","title":"Ecology of the free-living stages of major trichostrongylid parasites of sheep","volume":"142","author":[{"family":"O’Connor","given":"Lauren J."},{"family":"Walkden-Brown","given":"Stephen W."},{"family":"Kahn","given":"Lewis P."}],"issued":{"date-parts":[["2006",11,30]]}}}],"schema":"https://github.com/citation-style-language/schema/raw/master/csl-citation.json"}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(O’Connor et al., 2006)</w:t>
      </w:r>
      <w:r w:rsidRPr="00883FC0">
        <w:rPr>
          <w:rFonts w:ascii="Arial" w:hAnsi="Arial" w:cs="Arial"/>
          <w:sz w:val="24"/>
          <w:szCs w:val="24"/>
          <w:lang w:val="en-GB"/>
        </w:rPr>
        <w:fldChar w:fldCharType="end"/>
      </w:r>
      <w:r w:rsidRPr="00883FC0">
        <w:rPr>
          <w:rFonts w:ascii="Arial" w:hAnsi="Arial" w:cs="Arial"/>
          <w:sz w:val="24"/>
          <w:szCs w:val="24"/>
          <w:lang w:val="en-GB"/>
        </w:rPr>
        <w:t xml:space="preserve">, compared </w:t>
      </w:r>
      <w:r w:rsidR="00DF0F79" w:rsidRPr="00883FC0">
        <w:rPr>
          <w:rFonts w:ascii="Arial" w:hAnsi="Arial" w:cs="Arial"/>
          <w:sz w:val="24"/>
          <w:szCs w:val="24"/>
          <w:lang w:val="en-GB"/>
        </w:rPr>
        <w:t>with</w:t>
      </w:r>
      <w:r w:rsidRPr="00883FC0">
        <w:rPr>
          <w:rFonts w:ascii="Arial" w:hAnsi="Arial" w:cs="Arial"/>
          <w:sz w:val="24"/>
          <w:szCs w:val="24"/>
          <w:lang w:val="en-GB"/>
        </w:rPr>
        <w:t xml:space="preserve"> sheep </w:t>
      </w:r>
      <w:r w:rsidR="00DF0F79" w:rsidRPr="00883FC0">
        <w:rPr>
          <w:rFonts w:ascii="Arial" w:hAnsi="Arial" w:cs="Arial"/>
          <w:sz w:val="24"/>
          <w:szCs w:val="24"/>
          <w:lang w:val="en-GB"/>
        </w:rPr>
        <w:t>grazing on the plains</w:t>
      </w:r>
      <w:r w:rsidRPr="00883FC0">
        <w:rPr>
          <w:rFonts w:ascii="Arial" w:hAnsi="Arial" w:cs="Arial"/>
          <w:sz w:val="24"/>
          <w:szCs w:val="24"/>
          <w:lang w:val="en-GB"/>
        </w:rPr>
        <w:t xml:space="preserve"> year round. </w:t>
      </w:r>
      <w:r w:rsidR="0013594E" w:rsidRPr="00883FC0">
        <w:rPr>
          <w:rFonts w:ascii="Arial" w:hAnsi="Arial" w:cs="Arial"/>
          <w:sz w:val="24"/>
          <w:szCs w:val="24"/>
          <w:lang w:val="en-GB"/>
        </w:rPr>
        <w:t xml:space="preserve">To confirm this hypothesis, the nemabiome of transhumant sheep should be compared with the nemabiome of </w:t>
      </w:r>
      <w:r w:rsidR="005F5967" w:rsidRPr="00883FC0">
        <w:rPr>
          <w:rFonts w:ascii="Arial" w:hAnsi="Arial" w:cs="Arial"/>
          <w:sz w:val="24"/>
          <w:szCs w:val="24"/>
          <w:lang w:val="en-GB"/>
        </w:rPr>
        <w:t>resident</w:t>
      </w:r>
      <w:r w:rsidR="0013594E" w:rsidRPr="00883FC0">
        <w:rPr>
          <w:rFonts w:ascii="Arial" w:hAnsi="Arial" w:cs="Arial"/>
          <w:sz w:val="24"/>
          <w:szCs w:val="24"/>
          <w:lang w:val="en-GB"/>
        </w:rPr>
        <w:t xml:space="preserve"> sheep</w:t>
      </w:r>
      <w:r w:rsidR="005F5967" w:rsidRPr="00883FC0">
        <w:rPr>
          <w:rFonts w:ascii="Arial" w:hAnsi="Arial" w:cs="Arial"/>
          <w:sz w:val="24"/>
          <w:szCs w:val="24"/>
          <w:lang w:val="en-GB"/>
        </w:rPr>
        <w:t xml:space="preserve"> that stay in farm all year around</w:t>
      </w:r>
      <w:r w:rsidR="0013594E" w:rsidRPr="00883FC0">
        <w:rPr>
          <w:rFonts w:ascii="Arial" w:hAnsi="Arial" w:cs="Arial"/>
          <w:sz w:val="24"/>
          <w:szCs w:val="24"/>
          <w:lang w:val="en-GB"/>
        </w:rPr>
        <w:t>.</w:t>
      </w:r>
    </w:p>
    <w:p w14:paraId="3AA3E391" w14:textId="6923768B" w:rsidR="003E01B7" w:rsidRPr="00883FC0" w:rsidRDefault="00291B07"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A h</w:t>
      </w:r>
      <w:r w:rsidR="003E01B7" w:rsidRPr="00883FC0">
        <w:rPr>
          <w:rFonts w:ascii="Arial" w:hAnsi="Arial" w:cs="Arial"/>
          <w:sz w:val="24"/>
          <w:szCs w:val="24"/>
          <w:lang w:val="en-GB"/>
        </w:rPr>
        <w:t xml:space="preserve">igh relative frequency (&gt;30%) of </w:t>
      </w:r>
      <w:r w:rsidR="00317797" w:rsidRPr="00883FC0">
        <w:rPr>
          <w:rFonts w:ascii="Arial" w:hAnsi="Arial" w:cs="Arial"/>
          <w:i/>
          <w:sz w:val="24"/>
          <w:szCs w:val="24"/>
          <w:lang w:val="en-GB"/>
        </w:rPr>
        <w:t>Haemonchus</w:t>
      </w:r>
      <w:r w:rsidR="003E01B7" w:rsidRPr="00883FC0">
        <w:rPr>
          <w:rFonts w:ascii="Arial" w:hAnsi="Arial" w:cs="Arial"/>
          <w:i/>
          <w:sz w:val="24"/>
          <w:szCs w:val="24"/>
          <w:lang w:val="en-GB"/>
        </w:rPr>
        <w:t xml:space="preserve"> contortus</w:t>
      </w:r>
      <w:r w:rsidR="003E01B7" w:rsidRPr="00883FC0">
        <w:rPr>
          <w:rFonts w:ascii="Arial" w:hAnsi="Arial" w:cs="Arial"/>
          <w:sz w:val="24"/>
          <w:szCs w:val="24"/>
          <w:lang w:val="en-GB"/>
        </w:rPr>
        <w:t xml:space="preserve"> was detected in ibex </w:t>
      </w:r>
      <w:r w:rsidR="00DF0F79" w:rsidRPr="00883FC0">
        <w:rPr>
          <w:rFonts w:ascii="Arial" w:hAnsi="Arial" w:cs="Arial"/>
          <w:sz w:val="24"/>
          <w:szCs w:val="24"/>
          <w:lang w:val="en-GB"/>
        </w:rPr>
        <w:t>in</w:t>
      </w:r>
      <w:r w:rsidR="003E01B7" w:rsidRPr="00883FC0">
        <w:rPr>
          <w:rFonts w:ascii="Arial" w:hAnsi="Arial" w:cs="Arial"/>
          <w:sz w:val="24"/>
          <w:szCs w:val="24"/>
          <w:lang w:val="en-GB"/>
        </w:rPr>
        <w:t xml:space="preserve"> Belledonne and Champsaur. </w:t>
      </w:r>
      <w:r w:rsidR="00DF0F79" w:rsidRPr="00883FC0">
        <w:rPr>
          <w:rFonts w:ascii="Arial" w:hAnsi="Arial" w:cs="Arial"/>
          <w:sz w:val="24"/>
          <w:szCs w:val="24"/>
          <w:lang w:val="en-GB"/>
        </w:rPr>
        <w:t>In</w:t>
      </w:r>
      <w:r w:rsidR="003E01B7" w:rsidRPr="00883FC0">
        <w:rPr>
          <w:rFonts w:ascii="Arial" w:hAnsi="Arial" w:cs="Arial"/>
          <w:sz w:val="24"/>
          <w:szCs w:val="24"/>
          <w:lang w:val="en-GB"/>
        </w:rPr>
        <w:t xml:space="preserve"> contrast, almost no </w:t>
      </w:r>
      <w:r w:rsidR="00317797" w:rsidRPr="00883FC0">
        <w:rPr>
          <w:rFonts w:ascii="Arial" w:hAnsi="Arial" w:cs="Arial"/>
          <w:i/>
          <w:sz w:val="24"/>
          <w:szCs w:val="24"/>
          <w:lang w:val="en-GB"/>
        </w:rPr>
        <w:t>Haemonchus</w:t>
      </w:r>
      <w:r w:rsidR="003E01B7" w:rsidRPr="00883FC0">
        <w:rPr>
          <w:rFonts w:ascii="Arial" w:hAnsi="Arial" w:cs="Arial"/>
          <w:i/>
          <w:sz w:val="24"/>
          <w:szCs w:val="24"/>
          <w:lang w:val="en-GB"/>
        </w:rPr>
        <w:t xml:space="preserve"> contortus</w:t>
      </w:r>
      <w:r w:rsidR="003E01B7" w:rsidRPr="00883FC0">
        <w:rPr>
          <w:rFonts w:ascii="Arial" w:hAnsi="Arial" w:cs="Arial"/>
          <w:sz w:val="24"/>
          <w:szCs w:val="24"/>
          <w:lang w:val="en-GB"/>
        </w:rPr>
        <w:t xml:space="preserve"> w</w:t>
      </w:r>
      <w:r w:rsidR="00DF0F79" w:rsidRPr="00883FC0">
        <w:rPr>
          <w:rFonts w:ascii="Arial" w:hAnsi="Arial" w:cs="Arial"/>
          <w:sz w:val="24"/>
          <w:szCs w:val="24"/>
          <w:lang w:val="en-GB"/>
        </w:rPr>
        <w:t>as</w:t>
      </w:r>
      <w:r w:rsidR="003E01B7" w:rsidRPr="00883FC0">
        <w:rPr>
          <w:rFonts w:ascii="Arial" w:hAnsi="Arial" w:cs="Arial"/>
          <w:sz w:val="24"/>
          <w:szCs w:val="24"/>
          <w:lang w:val="en-GB"/>
        </w:rPr>
        <w:t xml:space="preserve"> observed in sheep flock</w:t>
      </w:r>
      <w:r w:rsidR="005D18C6" w:rsidRPr="00883FC0">
        <w:rPr>
          <w:rFonts w:ascii="Arial" w:hAnsi="Arial" w:cs="Arial"/>
          <w:sz w:val="24"/>
          <w:szCs w:val="24"/>
          <w:lang w:val="en-GB"/>
        </w:rPr>
        <w:t>s</w:t>
      </w:r>
      <w:r w:rsidR="003E01B7" w:rsidRPr="00883FC0">
        <w:rPr>
          <w:rFonts w:ascii="Arial" w:hAnsi="Arial" w:cs="Arial"/>
          <w:sz w:val="24"/>
          <w:szCs w:val="24"/>
          <w:lang w:val="en-GB"/>
        </w:rPr>
        <w:t xml:space="preserve"> dr</w:t>
      </w:r>
      <w:r w:rsidR="005D18C6" w:rsidRPr="00883FC0">
        <w:rPr>
          <w:rFonts w:ascii="Arial" w:hAnsi="Arial" w:cs="Arial"/>
          <w:sz w:val="24"/>
          <w:szCs w:val="24"/>
          <w:lang w:val="en-GB"/>
        </w:rPr>
        <w:t>i</w:t>
      </w:r>
      <w:r w:rsidR="003E01B7" w:rsidRPr="00883FC0">
        <w:rPr>
          <w:rFonts w:ascii="Arial" w:hAnsi="Arial" w:cs="Arial"/>
          <w:sz w:val="24"/>
          <w:szCs w:val="24"/>
          <w:lang w:val="en-GB"/>
        </w:rPr>
        <w:t>ve</w:t>
      </w:r>
      <w:r w:rsidR="005D18C6" w:rsidRPr="00883FC0">
        <w:rPr>
          <w:rFonts w:ascii="Arial" w:hAnsi="Arial" w:cs="Arial"/>
          <w:sz w:val="24"/>
          <w:szCs w:val="24"/>
          <w:lang w:val="en-GB"/>
        </w:rPr>
        <w:t>n</w:t>
      </w:r>
      <w:r w:rsidR="003E01B7" w:rsidRPr="00883FC0">
        <w:rPr>
          <w:rFonts w:ascii="Arial" w:hAnsi="Arial" w:cs="Arial"/>
          <w:sz w:val="24"/>
          <w:szCs w:val="24"/>
          <w:lang w:val="en-GB"/>
        </w:rPr>
        <w:t xml:space="preserve"> </w:t>
      </w:r>
      <w:r w:rsidR="005D18C6" w:rsidRPr="00883FC0">
        <w:rPr>
          <w:rFonts w:ascii="Arial" w:hAnsi="Arial" w:cs="Arial"/>
          <w:sz w:val="24"/>
          <w:szCs w:val="24"/>
          <w:lang w:val="en-GB"/>
        </w:rPr>
        <w:t>to</w:t>
      </w:r>
      <w:r w:rsidR="003E01B7" w:rsidRPr="00883FC0">
        <w:rPr>
          <w:rFonts w:ascii="Arial" w:hAnsi="Arial" w:cs="Arial"/>
          <w:sz w:val="24"/>
          <w:szCs w:val="24"/>
          <w:lang w:val="en-GB"/>
        </w:rPr>
        <w:t xml:space="preserve"> these mountains, raising the possibility that ibex may </w:t>
      </w:r>
      <w:r w:rsidR="00DF0F79" w:rsidRPr="00883FC0">
        <w:rPr>
          <w:rFonts w:ascii="Arial" w:hAnsi="Arial" w:cs="Arial"/>
          <w:sz w:val="24"/>
          <w:szCs w:val="24"/>
          <w:lang w:val="en-GB"/>
        </w:rPr>
        <w:t xml:space="preserve">be </w:t>
      </w:r>
      <w:r w:rsidR="003E01B7" w:rsidRPr="00883FC0">
        <w:rPr>
          <w:rFonts w:ascii="Arial" w:hAnsi="Arial" w:cs="Arial"/>
          <w:sz w:val="24"/>
          <w:szCs w:val="24"/>
          <w:lang w:val="en-GB"/>
        </w:rPr>
        <w:t>contribut</w:t>
      </w:r>
      <w:r w:rsidR="00DF0F79" w:rsidRPr="00883FC0">
        <w:rPr>
          <w:rFonts w:ascii="Arial" w:hAnsi="Arial" w:cs="Arial"/>
          <w:sz w:val="24"/>
          <w:szCs w:val="24"/>
          <w:lang w:val="en-GB"/>
        </w:rPr>
        <w:t>ing</w:t>
      </w:r>
      <w:r w:rsidR="003E01B7" w:rsidRPr="00883FC0">
        <w:rPr>
          <w:rFonts w:ascii="Arial" w:hAnsi="Arial" w:cs="Arial"/>
          <w:sz w:val="24"/>
          <w:szCs w:val="24"/>
          <w:lang w:val="en-GB"/>
        </w:rPr>
        <w:t xml:space="preserve"> to the infection of sheep with </w:t>
      </w:r>
      <w:r w:rsidR="00317797" w:rsidRPr="00883FC0">
        <w:rPr>
          <w:rFonts w:ascii="Arial" w:hAnsi="Arial" w:cs="Arial"/>
          <w:i/>
          <w:sz w:val="24"/>
          <w:szCs w:val="24"/>
          <w:lang w:val="en-GB"/>
        </w:rPr>
        <w:t>Haemonchus</w:t>
      </w:r>
      <w:r w:rsidR="003E01B7" w:rsidRPr="00883FC0">
        <w:rPr>
          <w:rFonts w:ascii="Arial" w:hAnsi="Arial" w:cs="Arial"/>
          <w:i/>
          <w:sz w:val="24"/>
          <w:szCs w:val="24"/>
          <w:lang w:val="en-GB"/>
        </w:rPr>
        <w:t xml:space="preserve"> contortus</w:t>
      </w:r>
      <w:r w:rsidR="003E01B7" w:rsidRPr="00883FC0">
        <w:rPr>
          <w:rFonts w:ascii="Arial" w:hAnsi="Arial" w:cs="Arial"/>
          <w:sz w:val="24"/>
          <w:szCs w:val="24"/>
          <w:lang w:val="en-GB"/>
        </w:rPr>
        <w:t xml:space="preserve">. To our knowledge, this is the first time that such </w:t>
      </w:r>
      <w:r w:rsidRPr="00883FC0">
        <w:rPr>
          <w:rFonts w:ascii="Arial" w:hAnsi="Arial" w:cs="Arial"/>
          <w:sz w:val="24"/>
          <w:szCs w:val="24"/>
          <w:lang w:val="en-GB"/>
        </w:rPr>
        <w:t xml:space="preserve">a </w:t>
      </w:r>
      <w:r w:rsidR="00DF0F79" w:rsidRPr="00883FC0">
        <w:rPr>
          <w:rFonts w:ascii="Arial" w:hAnsi="Arial" w:cs="Arial"/>
          <w:sz w:val="24"/>
          <w:szCs w:val="24"/>
          <w:lang w:val="en-GB"/>
        </w:rPr>
        <w:t>relative abundance</w:t>
      </w:r>
      <w:r w:rsidR="003E01B7" w:rsidRPr="00883FC0">
        <w:rPr>
          <w:rFonts w:ascii="Arial" w:hAnsi="Arial" w:cs="Arial"/>
          <w:sz w:val="24"/>
          <w:szCs w:val="24"/>
          <w:lang w:val="en-GB"/>
        </w:rPr>
        <w:t xml:space="preserve"> of </w:t>
      </w:r>
      <w:r w:rsidR="00317797" w:rsidRPr="00883FC0">
        <w:rPr>
          <w:rFonts w:ascii="Arial" w:hAnsi="Arial" w:cs="Arial"/>
          <w:i/>
          <w:sz w:val="24"/>
          <w:szCs w:val="24"/>
          <w:lang w:val="en-GB"/>
        </w:rPr>
        <w:t>Haemonchus</w:t>
      </w:r>
      <w:r w:rsidR="003E01B7" w:rsidRPr="00883FC0">
        <w:rPr>
          <w:rFonts w:ascii="Arial" w:hAnsi="Arial" w:cs="Arial"/>
          <w:i/>
          <w:sz w:val="24"/>
          <w:szCs w:val="24"/>
          <w:lang w:val="en-GB"/>
        </w:rPr>
        <w:t xml:space="preserve"> contortus</w:t>
      </w:r>
      <w:r w:rsidR="003E01B7" w:rsidRPr="00883FC0">
        <w:rPr>
          <w:rFonts w:ascii="Arial" w:hAnsi="Arial" w:cs="Arial"/>
          <w:sz w:val="24"/>
          <w:szCs w:val="24"/>
          <w:lang w:val="en-GB"/>
        </w:rPr>
        <w:t xml:space="preserve"> is reported in Alpine ibex</w:t>
      </w:r>
      <w:r w:rsidR="00693DAF" w:rsidRPr="00883FC0">
        <w:rPr>
          <w:rFonts w:ascii="Arial" w:hAnsi="Arial" w:cs="Arial"/>
          <w:sz w:val="24"/>
          <w:szCs w:val="24"/>
          <w:lang w:val="en-GB"/>
        </w:rPr>
        <w:t xml:space="preserve"> (see previous studies based on morphological identification:</w:t>
      </w:r>
      <w:r w:rsidR="003E01B7" w:rsidRPr="00883FC0">
        <w:rPr>
          <w:rFonts w:ascii="Arial" w:hAnsi="Arial" w:cs="Arial"/>
          <w:sz w:val="24"/>
          <w:szCs w:val="24"/>
          <w:lang w:val="en-GB"/>
        </w:rPr>
        <w:t xml:space="preserve"> </w:t>
      </w:r>
      <w:r w:rsidR="003E01B7" w:rsidRPr="00883FC0">
        <w:rPr>
          <w:rFonts w:ascii="Arial" w:hAnsi="Arial" w:cs="Arial"/>
          <w:sz w:val="24"/>
          <w:szCs w:val="24"/>
          <w:lang w:val="en-GB"/>
        </w:rPr>
        <w:fldChar w:fldCharType="begin"/>
      </w:r>
      <w:r w:rsidR="001C5C07" w:rsidRPr="00883FC0">
        <w:rPr>
          <w:rFonts w:ascii="Arial" w:hAnsi="Arial" w:cs="Arial"/>
          <w:sz w:val="24"/>
          <w:szCs w:val="24"/>
          <w:lang w:val="en-GB"/>
        </w:rPr>
        <w:instrText xml:space="preserve"> ADDIN ZOTERO_ITEM CSL_CITATION {"citationID":"eht3gViQ","properties":{"formattedCitation":"(Carcereri et al., 2021; Marreros et al., 2012; Zaffaroni et al., 2000)","plainCitation":"(Carcereri et al., 2021; Marreros et al., 2012; Zaffaroni et al., 2000)","dontUpdate":true,"noteIndex":0},"citationItems":[{"id":4543,"uris":["http://zotero.org/users/local/NciqjDvn/items/8BGXVE86"],"itemData":{"id":4543,"type":"article-journal","abstract":"Parasitic infections in populations of wild herbivores can affect the individual fitness and population dynamics of their hosts. In this study, the ecology of gastrointestinal (GI) parasites was investigated in an Alpine ibex colony of the Marmolada massif, eastern Alps. Both individual and...","container-title":"Hystrix, the Italian Journal of Mammalogy","DOI":"10.4404/hystrix-00393-2020","ISSN":"0394-1914, 1825-5272","issue":"1","journalAbbreviation":"Hystrix It. J. Mamm.","language":"english","note":"publisher: Associazione Teriologica Italiana","page":"95-101","source":"www.italian-journal-of-mammalogy.it","title":"Factors influencing gastrointestinal parasites in a colony of Alpine ibex (&lt;i&gt; Capra ibex&lt;/i&gt;) interacting with domestic ruminants","volume":"32","author":[{"family":"Carcereri","given":"Andrea"},{"family":"Stancampiano","given":"Laura"},{"family":"Marchiori","given":"Erica"},{"family":"Sturaro","given":"Enrico"},{"family":"Ramanzin","given":"Maurizio"},{"family":"Cassini","given":"Rudi"}],"issued":{"date-parts":[["2021",5,3]]}}},{"id":2771,"uris":["http://zotero.org/users/local/NciqjDvn/items/S3HTN44W"],"itemData":{"id":2771,"type":"article-journal","abstract":"To provide baseline parasitological data for health surveillance in free-ranging Alpine ibex (Capra ibex ibex), we assessed the endoparasite population and level of parasitism in apparently healthy ibex. Faecal samples from 148 ibex were collected between 2006 and 2008 in two different Swiss ibex colonies. They were analysed by coprology, including combined sedimentation/flotation method, sedimentation method, Baermann funnel technique and Ziehl-Neelsen staining. Gastrointestinal parasites and lungworms were identified in 100% and 81.8% of the examined animals, respectively. Highest prevalences were recorded for gastrointestinal strongylids other than Nematodirus/Marshallagia spp. (100%), Eimeria spp. (100%), Muellerius spp. (79.8%) and Nematodirus/Marshallagia spp. (79.0%). We report for the first time Cryptosporidium sp. in free-ranging Alpine ibex and Cystocaulus spp. in free-ranging ibex from Switzerland. On average, ibex were infected with 3.9 different parasites taxa (range: 1–8). Parasite prevalence and diversity varied significantly between sexes, study sites and seasons. Parasite egg output was low in 95.7% and moderate in 5.3% of the samples. Overall, the results indicate that Alpine ibex are widely infected with endoparasites and suggest that multiple infections are very common in apparently healthy populations. Furthermore, our data underline the potential influence of factors such as sex, study site and season on parasitological findings.","container-title":"Veterinary Parasitology","DOI":"10.1016/j.vetpar.2011.11.009","ISSN":"0304-4017","issue":"3","journalAbbreviation":"Veterinary Parasitology","language":"en","page":"382-389","source":"ScienceDirect","title":"Coprological analyses on apparently healthy Alpine ibex (&lt;i&gt;Capra ibex ibex&lt;/i&gt;) from two Swiss colonies","volume":"186","author":[{"family":"Marreros","given":"Nelson"},{"family":"Frey","given":"Caroline F."},{"family":"Willisch","given":"Christian S."},{"family":"Signer","given":"Claudio"},{"family":"Ryser-Degiorgis","given":"Marie-Pierre"}],"issued":{"date-parts":[["2012",5,25]]}}},{"id":612,"uris":["http://zotero.org/users/local/NciqjDvn/items/7B7UYZCJ"],"itemData":{"id":612,"type":"article-journal","abstract":"Abomasums from 641 alpine wild ruminants representing five different species (Cervus elaphus, Capreolus capreolus, Rupicapra rupicapra, Capra ibex, Ovis musimon) and from 19 domestic sheep (Ovis aries) from alpine areas were examined in order to investigate the host-specificity of abomasal helminths. Nine out of 20 helminth species were found in at least five different host species. A discriminant analysis was able to significantly discriminate the hosts on the basis of their helminth community composition with the exception of O. musimon and O. aries. Based on the correlation between each variable represented by helminth species with the most explanatory discriminant axis, it was possible to classify helminths into specialists and generalists. Specialists are represented by the dominant species in a community of an host species or family while generalists appear in the communities of many different hosts as intermediate species. Due to the pathogenic potential of some of these generalist species (i.e. Haemonchus contortus, Trichostrongylus axei) and their ability to adapt easily to the conditions found in several different hosts, they appear to be the most important from a sanitary point of view.","container-title":"Veterinary Parasitology","DOI":"10.1016/S0304-4017(00)00240-5","ISSN":"0304-4017","issue":"3","journalAbbreviation":"Vet. Parasitol","language":"en","page":"221-230","source":"ScienceDirect","title":"Host specificity of abomasal nematodes in free ranging alpine ruminants","volume":"90","author":[{"family":"Zaffaroni","given":"Enrico"},{"family":"Teresa Manfredi","given":"Maria"},{"family":"Citterio","given":"Carlo"},{"family":"Sala","given":"Marcello"},{"family":"Piccolo","given":"Giuliana"},{"family":"Lanfranchi","given":"Paolo"}],"issued":{"date-parts":[["2000",6,27]]}}}],"schema":"https://github.com/citation-style-language/schema/raw/master/csl-citation.json"} </w:instrText>
      </w:r>
      <w:r w:rsidR="003E01B7" w:rsidRPr="00883FC0">
        <w:rPr>
          <w:rFonts w:ascii="Arial" w:hAnsi="Arial" w:cs="Arial"/>
          <w:sz w:val="24"/>
          <w:szCs w:val="24"/>
          <w:lang w:val="en-GB"/>
        </w:rPr>
        <w:fldChar w:fldCharType="separate"/>
      </w:r>
      <w:r w:rsidR="00991FDE" w:rsidRPr="00883FC0">
        <w:rPr>
          <w:rFonts w:ascii="Arial" w:hAnsi="Arial" w:cs="Arial"/>
          <w:sz w:val="24"/>
          <w:lang w:val="en-US"/>
        </w:rPr>
        <w:t>Carcereri et al., 2021; Marreros et al., 2012; Zaffaroni et al., 2000</w:t>
      </w:r>
      <w:r w:rsidR="003E01B7" w:rsidRPr="00883FC0">
        <w:rPr>
          <w:rFonts w:ascii="Arial" w:hAnsi="Arial" w:cs="Arial"/>
          <w:sz w:val="24"/>
          <w:szCs w:val="24"/>
          <w:lang w:val="en-GB"/>
        </w:rPr>
        <w:fldChar w:fldCharType="end"/>
      </w:r>
      <w:r w:rsidR="00693DAF" w:rsidRPr="00883FC0">
        <w:rPr>
          <w:rFonts w:ascii="Arial" w:hAnsi="Arial" w:cs="Arial"/>
          <w:sz w:val="24"/>
          <w:szCs w:val="24"/>
          <w:lang w:val="en-GB"/>
        </w:rPr>
        <w:t>)</w:t>
      </w:r>
      <w:r w:rsidR="003E01B7" w:rsidRPr="00883FC0">
        <w:rPr>
          <w:rFonts w:ascii="Arial" w:hAnsi="Arial" w:cs="Arial"/>
          <w:sz w:val="24"/>
          <w:szCs w:val="24"/>
          <w:lang w:val="en-GB"/>
        </w:rPr>
        <w:t xml:space="preserve">. In addition, it should be noted that Alpine ibex </w:t>
      </w:r>
      <w:proofErr w:type="gramStart"/>
      <w:r w:rsidR="003E01B7" w:rsidRPr="00883FC0">
        <w:rPr>
          <w:rFonts w:ascii="Arial" w:hAnsi="Arial" w:cs="Arial"/>
          <w:sz w:val="24"/>
          <w:szCs w:val="24"/>
          <w:lang w:val="en-GB"/>
        </w:rPr>
        <w:t>were</w:t>
      </w:r>
      <w:proofErr w:type="gramEnd"/>
      <w:r w:rsidR="003E01B7" w:rsidRPr="00883FC0">
        <w:rPr>
          <w:rFonts w:ascii="Arial" w:hAnsi="Arial" w:cs="Arial"/>
          <w:sz w:val="24"/>
          <w:szCs w:val="24"/>
          <w:lang w:val="en-GB"/>
        </w:rPr>
        <w:t xml:space="preserve"> sampled before potential contamination by domestic sheep </w:t>
      </w:r>
      <w:r w:rsidR="00DF0F79" w:rsidRPr="00883FC0">
        <w:rPr>
          <w:rFonts w:ascii="Arial" w:hAnsi="Arial" w:cs="Arial"/>
          <w:sz w:val="24"/>
          <w:szCs w:val="24"/>
          <w:lang w:val="en-GB"/>
        </w:rPr>
        <w:t>could</w:t>
      </w:r>
      <w:r w:rsidR="003E01B7" w:rsidRPr="00883FC0">
        <w:rPr>
          <w:rFonts w:ascii="Arial" w:hAnsi="Arial" w:cs="Arial"/>
          <w:sz w:val="24"/>
          <w:szCs w:val="24"/>
          <w:lang w:val="en-GB"/>
        </w:rPr>
        <w:t xml:space="preserve"> be detected, i.e., before the end of the pre-patent period</w:t>
      </w:r>
      <w:r w:rsidR="005D18C6" w:rsidRPr="00883FC0">
        <w:rPr>
          <w:rFonts w:ascii="Arial" w:hAnsi="Arial" w:cs="Arial"/>
          <w:sz w:val="24"/>
          <w:szCs w:val="24"/>
          <w:lang w:val="en-GB"/>
        </w:rPr>
        <w:t xml:space="preserve"> </w:t>
      </w:r>
      <w:r w:rsidR="005D18C6" w:rsidRPr="00AC7D32">
        <w:rPr>
          <w:rFonts w:ascii="Arial" w:hAnsi="Arial" w:cs="Arial"/>
          <w:sz w:val="24"/>
          <w:szCs w:val="24"/>
          <w:highlight w:val="yellow"/>
          <w:lang w:val="en-GB"/>
        </w:rPr>
        <w:t>(</w:t>
      </w:r>
      <w:r w:rsidR="00AC7D32" w:rsidRPr="00AC7D32">
        <w:rPr>
          <w:rFonts w:ascii="Arial" w:hAnsi="Arial" w:cs="Arial"/>
          <w:sz w:val="24"/>
          <w:szCs w:val="24"/>
          <w:highlight w:val="yellow"/>
          <w:lang w:val="en-GB"/>
        </w:rPr>
        <w:t>i.e., the</w:t>
      </w:r>
      <w:r w:rsidR="00AC7D32">
        <w:rPr>
          <w:rFonts w:ascii="Arial" w:hAnsi="Arial" w:cs="Arial"/>
          <w:sz w:val="24"/>
          <w:szCs w:val="24"/>
          <w:lang w:val="en-GB"/>
        </w:rPr>
        <w:t xml:space="preserve"> </w:t>
      </w:r>
      <w:r w:rsidR="003E01B7" w:rsidRPr="00883FC0">
        <w:rPr>
          <w:rFonts w:ascii="Arial" w:hAnsi="Arial" w:cs="Arial"/>
          <w:sz w:val="24"/>
          <w:szCs w:val="24"/>
          <w:lang w:val="en-GB"/>
        </w:rPr>
        <w:t>time between infe</w:t>
      </w:r>
      <w:r w:rsidR="005D18C6" w:rsidRPr="00883FC0">
        <w:rPr>
          <w:rFonts w:ascii="Arial" w:hAnsi="Arial" w:cs="Arial"/>
          <w:sz w:val="24"/>
          <w:szCs w:val="24"/>
          <w:lang w:val="en-GB"/>
        </w:rPr>
        <w:t>ction</w:t>
      </w:r>
      <w:r w:rsidR="003E01B7" w:rsidRPr="00883FC0">
        <w:rPr>
          <w:rFonts w:ascii="Arial" w:hAnsi="Arial" w:cs="Arial"/>
          <w:sz w:val="24"/>
          <w:szCs w:val="24"/>
          <w:lang w:val="en-GB"/>
        </w:rPr>
        <w:t xml:space="preserve"> and egg production</w:t>
      </w:r>
      <w:r w:rsidR="005D18C6" w:rsidRPr="00883FC0">
        <w:rPr>
          <w:rFonts w:ascii="Arial" w:hAnsi="Arial" w:cs="Arial"/>
          <w:sz w:val="24"/>
          <w:szCs w:val="24"/>
          <w:lang w:val="en-GB"/>
        </w:rPr>
        <w:t>)</w:t>
      </w:r>
      <w:r w:rsidR="003E01B7" w:rsidRPr="00883FC0">
        <w:rPr>
          <w:rFonts w:ascii="Arial" w:hAnsi="Arial" w:cs="Arial"/>
          <w:sz w:val="24"/>
          <w:szCs w:val="24"/>
          <w:lang w:val="en-GB"/>
        </w:rPr>
        <w:t xml:space="preserve"> and at the end of spring – </w:t>
      </w:r>
      <w:r w:rsidR="00AC7D32" w:rsidRPr="00AC7D32">
        <w:rPr>
          <w:rFonts w:ascii="Arial" w:hAnsi="Arial" w:cs="Arial"/>
          <w:sz w:val="24"/>
          <w:szCs w:val="24"/>
          <w:highlight w:val="yellow"/>
          <w:lang w:val="en-GB"/>
        </w:rPr>
        <w:t>to</w:t>
      </w:r>
      <w:r w:rsidR="00AC7D32">
        <w:rPr>
          <w:rFonts w:ascii="Arial" w:hAnsi="Arial" w:cs="Arial"/>
          <w:sz w:val="24"/>
          <w:szCs w:val="24"/>
          <w:lang w:val="en-GB"/>
        </w:rPr>
        <w:t xml:space="preserve"> </w:t>
      </w:r>
      <w:r w:rsidR="003E01B7" w:rsidRPr="00883FC0">
        <w:rPr>
          <w:rFonts w:ascii="Arial" w:hAnsi="Arial" w:cs="Arial"/>
          <w:sz w:val="24"/>
          <w:szCs w:val="24"/>
          <w:lang w:val="en-GB"/>
        </w:rPr>
        <w:t xml:space="preserve">early summer, </w:t>
      </w:r>
      <w:r w:rsidR="00AC7D32" w:rsidRPr="00AC7D32">
        <w:rPr>
          <w:rFonts w:ascii="Arial" w:hAnsi="Arial" w:cs="Arial"/>
          <w:sz w:val="24"/>
          <w:szCs w:val="24"/>
          <w:highlight w:val="yellow"/>
          <w:lang w:val="en-GB"/>
        </w:rPr>
        <w:t>which is</w:t>
      </w:r>
      <w:r w:rsidR="005D18C6" w:rsidRPr="00883FC0">
        <w:rPr>
          <w:rFonts w:ascii="Arial" w:hAnsi="Arial" w:cs="Arial"/>
          <w:sz w:val="24"/>
          <w:szCs w:val="24"/>
          <w:lang w:val="en-GB"/>
        </w:rPr>
        <w:t xml:space="preserve"> </w:t>
      </w:r>
      <w:r w:rsidR="00DF0F79" w:rsidRPr="00883FC0">
        <w:rPr>
          <w:rFonts w:ascii="Arial" w:hAnsi="Arial" w:cs="Arial"/>
          <w:sz w:val="24"/>
          <w:szCs w:val="24"/>
          <w:lang w:val="en-GB"/>
        </w:rPr>
        <w:t>the start of</w:t>
      </w:r>
      <w:r w:rsidR="003E01B7" w:rsidRPr="00883FC0">
        <w:rPr>
          <w:rFonts w:ascii="Arial" w:hAnsi="Arial" w:cs="Arial"/>
          <w:sz w:val="24"/>
          <w:szCs w:val="24"/>
          <w:lang w:val="en-GB"/>
        </w:rPr>
        <w:t xml:space="preserve"> the epidemiological period for </w:t>
      </w:r>
      <w:r w:rsidR="003E01B7" w:rsidRPr="00883FC0">
        <w:rPr>
          <w:rFonts w:ascii="Arial" w:hAnsi="Arial" w:cs="Arial"/>
          <w:i/>
          <w:iCs/>
          <w:sz w:val="24"/>
          <w:szCs w:val="24"/>
          <w:lang w:val="en-GB"/>
        </w:rPr>
        <w:t>Haemonchus contortus</w:t>
      </w:r>
      <w:r w:rsidR="003E01B7" w:rsidRPr="00883FC0">
        <w:rPr>
          <w:rFonts w:ascii="Arial" w:hAnsi="Arial" w:cs="Arial"/>
          <w:sz w:val="24"/>
          <w:szCs w:val="24"/>
          <w:lang w:val="en-GB"/>
        </w:rPr>
        <w:t xml:space="preserve"> </w:t>
      </w:r>
      <w:r w:rsidR="005D18C6" w:rsidRPr="00883FC0">
        <w:rPr>
          <w:rFonts w:ascii="Arial" w:hAnsi="Arial" w:cs="Arial"/>
          <w:sz w:val="24"/>
          <w:szCs w:val="24"/>
          <w:lang w:val="en-GB"/>
        </w:rPr>
        <w:t xml:space="preserve">infection </w:t>
      </w:r>
      <w:r w:rsidR="003E01B7" w:rsidRPr="00883FC0">
        <w:rPr>
          <w:rFonts w:ascii="Arial" w:hAnsi="Arial" w:cs="Arial"/>
          <w:sz w:val="24"/>
          <w:szCs w:val="24"/>
          <w:lang w:val="en-GB"/>
        </w:rPr>
        <w:t xml:space="preserve">in </w:t>
      </w:r>
      <w:r w:rsidR="00DF0F79" w:rsidRPr="00883FC0">
        <w:rPr>
          <w:rFonts w:ascii="Arial" w:hAnsi="Arial" w:cs="Arial"/>
          <w:sz w:val="24"/>
          <w:szCs w:val="24"/>
          <w:lang w:val="en-GB"/>
        </w:rPr>
        <w:t>high-altitude mountain area</w:t>
      </w:r>
      <w:r w:rsidR="005D18C6" w:rsidRPr="00883FC0">
        <w:rPr>
          <w:rFonts w:ascii="Arial" w:hAnsi="Arial" w:cs="Arial"/>
          <w:sz w:val="24"/>
          <w:szCs w:val="24"/>
          <w:lang w:val="en-GB"/>
        </w:rPr>
        <w:t>s</w:t>
      </w:r>
      <w:r w:rsidR="003E01B7" w:rsidRPr="00883FC0">
        <w:rPr>
          <w:rFonts w:ascii="Arial" w:hAnsi="Arial" w:cs="Arial"/>
          <w:sz w:val="24"/>
          <w:szCs w:val="24"/>
          <w:lang w:val="en-GB"/>
        </w:rPr>
        <w:t>. We c</w:t>
      </w:r>
      <w:r w:rsidR="00DF0F79" w:rsidRPr="00883FC0">
        <w:rPr>
          <w:rFonts w:ascii="Arial" w:hAnsi="Arial" w:cs="Arial"/>
          <w:sz w:val="24"/>
          <w:szCs w:val="24"/>
          <w:lang w:val="en-GB"/>
        </w:rPr>
        <w:t>an</w:t>
      </w:r>
      <w:r w:rsidR="003E01B7" w:rsidRPr="00883FC0">
        <w:rPr>
          <w:rFonts w:ascii="Arial" w:hAnsi="Arial" w:cs="Arial"/>
          <w:sz w:val="24"/>
          <w:szCs w:val="24"/>
          <w:lang w:val="en-GB"/>
        </w:rPr>
        <w:t xml:space="preserve"> therefore expect higher levels of contamination in late summer, when domestic sheep </w:t>
      </w:r>
      <w:r w:rsidR="00DF0F79" w:rsidRPr="00883FC0">
        <w:rPr>
          <w:rFonts w:ascii="Arial" w:hAnsi="Arial" w:cs="Arial"/>
          <w:sz w:val="24"/>
          <w:szCs w:val="24"/>
          <w:lang w:val="en-GB"/>
        </w:rPr>
        <w:t>leave</w:t>
      </w:r>
      <w:r w:rsidR="003E01B7" w:rsidRPr="00883FC0">
        <w:rPr>
          <w:rFonts w:ascii="Arial" w:hAnsi="Arial" w:cs="Arial"/>
          <w:sz w:val="24"/>
          <w:szCs w:val="24"/>
          <w:lang w:val="en-GB"/>
        </w:rPr>
        <w:t xml:space="preserve"> mountain pastures. </w:t>
      </w:r>
      <w:r w:rsidRPr="00883FC0">
        <w:rPr>
          <w:rFonts w:ascii="Arial" w:hAnsi="Arial" w:cs="Arial"/>
          <w:sz w:val="24"/>
          <w:szCs w:val="24"/>
          <w:lang w:val="en-GB"/>
        </w:rPr>
        <w:t>Nonetheless</w:t>
      </w:r>
      <w:r w:rsidR="003E01B7" w:rsidRPr="00883FC0">
        <w:rPr>
          <w:rFonts w:ascii="Arial" w:hAnsi="Arial" w:cs="Arial"/>
          <w:sz w:val="24"/>
          <w:szCs w:val="24"/>
          <w:lang w:val="en-GB"/>
        </w:rPr>
        <w:t xml:space="preserve">, we cannot exclude </w:t>
      </w:r>
      <w:r w:rsidR="00045BC5" w:rsidRPr="00045BC5">
        <w:rPr>
          <w:rFonts w:ascii="Arial" w:hAnsi="Arial" w:cs="Arial"/>
          <w:sz w:val="24"/>
          <w:szCs w:val="24"/>
          <w:highlight w:val="yellow"/>
          <w:lang w:val="en-GB"/>
        </w:rPr>
        <w:t>the possibility</w:t>
      </w:r>
      <w:r w:rsidR="00045BC5">
        <w:rPr>
          <w:rFonts w:ascii="Arial" w:hAnsi="Arial" w:cs="Arial"/>
          <w:sz w:val="24"/>
          <w:szCs w:val="24"/>
          <w:lang w:val="en-GB"/>
        </w:rPr>
        <w:t xml:space="preserve"> </w:t>
      </w:r>
      <w:r w:rsidR="003E01B7" w:rsidRPr="00883FC0">
        <w:rPr>
          <w:rFonts w:ascii="Arial" w:hAnsi="Arial" w:cs="Arial"/>
          <w:sz w:val="24"/>
          <w:szCs w:val="24"/>
          <w:lang w:val="en-GB"/>
        </w:rPr>
        <w:t xml:space="preserve">that some laboratory issues might have reduced the apparent prevalence and abundance of </w:t>
      </w:r>
      <w:proofErr w:type="spellStart"/>
      <w:r w:rsidR="00317797" w:rsidRPr="00883FC0">
        <w:rPr>
          <w:rFonts w:ascii="Arial" w:hAnsi="Arial" w:cs="Arial"/>
          <w:i/>
          <w:sz w:val="24"/>
          <w:szCs w:val="24"/>
          <w:lang w:val="en-GB"/>
        </w:rPr>
        <w:t>Haemonchus</w:t>
      </w:r>
      <w:proofErr w:type="spellEnd"/>
      <w:r w:rsidR="00317797" w:rsidRPr="00883FC0">
        <w:rPr>
          <w:rFonts w:ascii="Arial" w:hAnsi="Arial" w:cs="Arial"/>
          <w:i/>
          <w:iCs/>
          <w:lang w:val="en-GB"/>
        </w:rPr>
        <w:t xml:space="preserve"> </w:t>
      </w:r>
      <w:proofErr w:type="spellStart"/>
      <w:r w:rsidR="003E01B7" w:rsidRPr="00883FC0">
        <w:rPr>
          <w:rFonts w:ascii="Arial" w:hAnsi="Arial" w:cs="Arial"/>
          <w:i/>
          <w:sz w:val="24"/>
          <w:szCs w:val="24"/>
          <w:lang w:val="en-GB"/>
        </w:rPr>
        <w:t>contortus</w:t>
      </w:r>
      <w:proofErr w:type="spellEnd"/>
      <w:r w:rsidR="00045BC5" w:rsidRPr="00045BC5">
        <w:rPr>
          <w:rFonts w:ascii="Arial" w:hAnsi="Arial" w:cs="Arial"/>
          <w:iCs/>
          <w:sz w:val="24"/>
          <w:szCs w:val="24"/>
          <w:highlight w:val="yellow"/>
          <w:lang w:val="en-GB"/>
        </w:rPr>
        <w:t>. For instance,</w:t>
      </w:r>
      <w:r w:rsidR="003E01B7" w:rsidRPr="00883FC0">
        <w:rPr>
          <w:rFonts w:ascii="Arial" w:hAnsi="Arial" w:cs="Arial"/>
          <w:sz w:val="24"/>
          <w:szCs w:val="24"/>
          <w:lang w:val="en-GB"/>
        </w:rPr>
        <w:t xml:space="preserve"> some samples from sheep </w:t>
      </w:r>
      <w:r w:rsidR="005D18C6" w:rsidRPr="00883FC0">
        <w:rPr>
          <w:rFonts w:ascii="Arial" w:hAnsi="Arial" w:cs="Arial"/>
          <w:sz w:val="24"/>
          <w:szCs w:val="24"/>
          <w:lang w:val="en-GB"/>
        </w:rPr>
        <w:t>were</w:t>
      </w:r>
      <w:r w:rsidR="003E01B7" w:rsidRPr="00883FC0">
        <w:rPr>
          <w:rFonts w:ascii="Arial" w:hAnsi="Arial" w:cs="Arial"/>
          <w:sz w:val="24"/>
          <w:szCs w:val="24"/>
          <w:lang w:val="en-GB"/>
        </w:rPr>
        <w:t xml:space="preserve"> kept in the fridge at 4°C during 2 to 3 days (including the sheep samples without </w:t>
      </w:r>
      <w:r w:rsidR="00317797" w:rsidRPr="00883FC0">
        <w:rPr>
          <w:rFonts w:ascii="Arial" w:hAnsi="Arial" w:cs="Arial"/>
          <w:i/>
          <w:sz w:val="24"/>
          <w:szCs w:val="24"/>
          <w:lang w:val="en-GB"/>
        </w:rPr>
        <w:t>Haemonchus</w:t>
      </w:r>
      <w:r w:rsidR="003E01B7" w:rsidRPr="00883FC0">
        <w:rPr>
          <w:rFonts w:ascii="Arial" w:hAnsi="Arial" w:cs="Arial"/>
          <w:i/>
          <w:sz w:val="24"/>
          <w:szCs w:val="24"/>
          <w:lang w:val="en-GB"/>
        </w:rPr>
        <w:t xml:space="preserve"> contortus</w:t>
      </w:r>
      <w:r w:rsidR="003E01B7" w:rsidRPr="00883FC0">
        <w:rPr>
          <w:rFonts w:ascii="Arial" w:hAnsi="Arial" w:cs="Arial"/>
          <w:sz w:val="24"/>
          <w:szCs w:val="24"/>
          <w:lang w:val="en-GB"/>
        </w:rPr>
        <w:t xml:space="preserve"> from Belledonne and Champsaur) which c</w:t>
      </w:r>
      <w:r w:rsidR="005D18C6" w:rsidRPr="00883FC0">
        <w:rPr>
          <w:rFonts w:ascii="Arial" w:hAnsi="Arial" w:cs="Arial"/>
          <w:sz w:val="24"/>
          <w:szCs w:val="24"/>
          <w:lang w:val="en-GB"/>
        </w:rPr>
        <w:t>ould have</w:t>
      </w:r>
      <w:r w:rsidR="003E01B7" w:rsidRPr="00883FC0">
        <w:rPr>
          <w:rFonts w:ascii="Arial" w:hAnsi="Arial" w:cs="Arial"/>
          <w:sz w:val="24"/>
          <w:szCs w:val="24"/>
          <w:lang w:val="en-GB"/>
        </w:rPr>
        <w:t xml:space="preserve"> reduce</w:t>
      </w:r>
      <w:r w:rsidR="005D18C6" w:rsidRPr="00883FC0">
        <w:rPr>
          <w:rFonts w:ascii="Arial" w:hAnsi="Arial" w:cs="Arial"/>
          <w:sz w:val="24"/>
          <w:szCs w:val="24"/>
          <w:lang w:val="en-GB"/>
        </w:rPr>
        <w:t>d</w:t>
      </w:r>
      <w:r w:rsidR="003E01B7" w:rsidRPr="00883FC0">
        <w:rPr>
          <w:rFonts w:ascii="Arial" w:hAnsi="Arial" w:cs="Arial"/>
          <w:sz w:val="24"/>
          <w:szCs w:val="24"/>
          <w:lang w:val="en-GB"/>
        </w:rPr>
        <w:t xml:space="preserve"> the proportion of </w:t>
      </w:r>
      <w:r w:rsidR="00317797" w:rsidRPr="00883FC0">
        <w:rPr>
          <w:rFonts w:ascii="Arial" w:hAnsi="Arial" w:cs="Arial"/>
          <w:i/>
          <w:sz w:val="24"/>
          <w:szCs w:val="24"/>
          <w:lang w:val="en-GB"/>
        </w:rPr>
        <w:t>Haemonchus</w:t>
      </w:r>
      <w:r w:rsidR="003E01B7" w:rsidRPr="00883FC0">
        <w:rPr>
          <w:rFonts w:ascii="Arial" w:hAnsi="Arial" w:cs="Arial"/>
          <w:i/>
          <w:sz w:val="24"/>
          <w:szCs w:val="24"/>
          <w:lang w:val="en-GB"/>
        </w:rPr>
        <w:t xml:space="preserve"> contortus</w:t>
      </w:r>
      <w:r w:rsidR="003E01B7" w:rsidRPr="00883FC0">
        <w:rPr>
          <w:rFonts w:ascii="Arial" w:hAnsi="Arial" w:cs="Arial"/>
          <w:sz w:val="24"/>
          <w:szCs w:val="24"/>
          <w:lang w:val="en-GB"/>
        </w:rPr>
        <w:t xml:space="preserve"> eggs hatching </w:t>
      </w:r>
      <w:r w:rsidR="003E01B7"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{"citationID":"a2qhdfn4284","properties":{"formattedCitation":"(McKenna, 1998)","plainCitation":"(McKenna, 1998)","noteIndex":0},"citationItems":[{"id":4556,"uris":["http://zotero.org/users/local/NciqjDvn/items/T5JZLCJR"],"itemData":{"id":4556,"type":"article-journal","abstract":"An investigation undertaken to determine the effect of previous cold storage on the recovery of third stage larvae of gastrointestinal nematodes of sheep, showed that increasing periods of exposure of faeces to 4°C resulted in decreasing numbers of larvae subsequently recovered from them. Differences in the abilities of the eggs of the various genera, to survive such treatment, were found to lead to significant changes in the percentage generic compositions of their third stage larvae – in some cases following the prior refrigeration of faecal samples for as little as 24h. These results suggest that where larval cultures are intended to provide estimates of the proportions of the various worm eggs in the faeces of sheep harboring mixed gastrointestinal nematode burdens, they should be performed only on freshly collected samples.","container-title":"Veterinary Parasitology","DOI":"10.1016/S0304-4017(98)00203-9","ISSN":"0304-4017","issue":"2","journalAbbreviation":"Veterinary Parasitology","language":"en","page":"167-172","source":"ScienceDirect","title":"The effect of previous cold storage on the subsequent recovery of infective third stage nematode larvae from sheep faeces","volume":"80","author":[{"family":"McKenna","given":"P. B"}],"issued":{"date-parts":[["1998",12,31]]}}}],"schema":"https://github.com/citation-style-language/schema/raw/master/csl-citation.json"} </w:instrText>
      </w:r>
      <w:r w:rsidR="003E01B7" w:rsidRPr="00883FC0">
        <w:rPr>
          <w:rFonts w:ascii="Arial" w:hAnsi="Arial" w:cs="Arial"/>
          <w:sz w:val="24"/>
          <w:szCs w:val="24"/>
          <w:lang w:val="en-GB"/>
        </w:rPr>
        <w:fldChar w:fldCharType="separate"/>
      </w:r>
      <w:r w:rsidR="00991FDE" w:rsidRPr="00883FC0">
        <w:rPr>
          <w:rFonts w:ascii="Arial" w:hAnsi="Arial" w:cs="Arial"/>
          <w:sz w:val="24"/>
          <w:lang w:val="en-US"/>
        </w:rPr>
        <w:t>(McKenna, 1998)</w:t>
      </w:r>
      <w:r w:rsidR="003E01B7" w:rsidRPr="00883FC0">
        <w:rPr>
          <w:rFonts w:ascii="Arial" w:hAnsi="Arial" w:cs="Arial"/>
          <w:sz w:val="24"/>
          <w:szCs w:val="24"/>
          <w:lang w:val="en-GB"/>
        </w:rPr>
        <w:fldChar w:fldCharType="end"/>
      </w:r>
      <w:r w:rsidR="003E01B7" w:rsidRPr="00883FC0">
        <w:rPr>
          <w:rFonts w:ascii="Arial" w:hAnsi="Arial" w:cs="Arial"/>
          <w:sz w:val="24"/>
          <w:szCs w:val="24"/>
          <w:lang w:val="en-GB"/>
        </w:rPr>
        <w:t>.</w:t>
      </w:r>
    </w:p>
    <w:p w14:paraId="3C5E140F" w14:textId="7BEBFB34" w:rsidR="003E01B7" w:rsidRPr="00883FC0" w:rsidRDefault="003E01B7"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 xml:space="preserve">The detection of </w:t>
      </w:r>
      <w:r w:rsidR="00317797" w:rsidRPr="00045BC5">
        <w:rPr>
          <w:rFonts w:ascii="Arial" w:hAnsi="Arial" w:cs="Arial"/>
          <w:i/>
          <w:iCs/>
          <w:sz w:val="24"/>
          <w:szCs w:val="24"/>
          <w:lang w:val="en-GB"/>
        </w:rPr>
        <w:t>Haemonchus</w:t>
      </w:r>
      <w:r w:rsidR="00317797" w:rsidRPr="00883FC0">
        <w:rPr>
          <w:rFonts w:ascii="Arial" w:hAnsi="Arial" w:cs="Arial"/>
          <w:sz w:val="24"/>
          <w:szCs w:val="24"/>
          <w:lang w:val="en-GB"/>
        </w:rPr>
        <w:t xml:space="preserve"> </w:t>
      </w:r>
      <w:r w:rsidRPr="00883FC0">
        <w:rPr>
          <w:rFonts w:ascii="Arial" w:hAnsi="Arial" w:cs="Arial"/>
          <w:i/>
          <w:sz w:val="24"/>
          <w:szCs w:val="24"/>
          <w:lang w:val="en-GB"/>
        </w:rPr>
        <w:t>contortus</w:t>
      </w:r>
      <w:r w:rsidRPr="00883FC0">
        <w:rPr>
          <w:rFonts w:ascii="Arial" w:hAnsi="Arial" w:cs="Arial"/>
          <w:sz w:val="24"/>
          <w:szCs w:val="24"/>
          <w:lang w:val="en-GB"/>
        </w:rPr>
        <w:t xml:space="preserve"> raises conservation issues for Alpine ibex as this nematode species is known to be highly pathogenic </w:t>
      </w:r>
      <w:r w:rsidR="00045BC5" w:rsidRPr="00045BC5">
        <w:rPr>
          <w:rFonts w:ascii="Arial" w:hAnsi="Arial" w:cs="Arial"/>
          <w:sz w:val="24"/>
          <w:szCs w:val="24"/>
          <w:highlight w:val="yellow"/>
          <w:lang w:val="en-GB"/>
        </w:rPr>
        <w:t>in</w:t>
      </w:r>
      <w:r w:rsidR="00045BC5">
        <w:rPr>
          <w:rFonts w:ascii="Arial" w:hAnsi="Arial" w:cs="Arial"/>
          <w:sz w:val="24"/>
          <w:szCs w:val="24"/>
          <w:lang w:val="en-GB"/>
        </w:rPr>
        <w:t xml:space="preserve"> </w:t>
      </w:r>
      <w:r w:rsidRPr="00883FC0">
        <w:rPr>
          <w:rFonts w:ascii="Arial" w:hAnsi="Arial" w:cs="Arial"/>
          <w:sz w:val="24"/>
          <w:szCs w:val="24"/>
          <w:lang w:val="en-GB"/>
        </w:rPr>
        <w:t xml:space="preserve">sheep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{"citationID":"a2fburdi0ac","properties":{"formattedCitation":"(Taylor et al., 2015)","plainCitation":"(Taylor et al., 2015)","noteIndex":0},"citationItems":[{"id":1217,"uris":["http://zotero.org/users/local/NciqjDvn/items/724F6HDW"],"itemData":{"id":1217,"type":"book","abstract":"The recipient of much praise and acclaim, Veterinary Parasitology is widely considered to be the definitive veterinary parasitology reference for practitioners and students alike. This Fourth Edition has been developed and enhanced into a two-part reference to reflect recent advances in the field, modern teaching practice, and updated parasite taxonomic classification systems. Part One contains expanded individual parasite descriptions using current taxonomic status within three new chapters on Helminthology, Protozoology and Entomology. Further updated chapters are provided on: The laboratory diagnosis of parasitism, Antiparasitics, The epidemiology of parasitic diseases, and Host resistance to parasitic diseases. Host species chapters have been retained and expanded and are found in Part Two of the edition. KEY FEATURES  Tailored for those directly involved in the diagnosis, treatment and control of parasitic diseases of domestic animals Compatible with the diversity of current parasitology teaching modules – both for teaching parasite systematics and diseases on a host-organ basis Offers the most detailed parasite descriptions available today for teachers, research groups, veterinarians in practice and in government service, and others involved in aspects of parasitic disease  Thoroughly revised and restructured to reflect the most up-to-date advancements in the field, Veterinary Parasitology, Fourth Edition, enhances its stellar reputation as the gold standard reference text for the global veterinary profession.","edition":"4th ed","event-place":"Chichester","ISBN":"978-0-470-67162-7","language":"en","note":"Google-Books-ID: mi2kBgAAQBAJ","number-of-pages":"1032","publisher":"Wiley Blackwell","publisher-place":"Chichester","source":"Google Books","title":"Veterinary Parasitology","author":[{"family":"Taylor","given":"M. A."},{"family":"Coop","given":"R. L."},{"family":"Wall","given":"Richard L."}],"issued":{"date-parts":[["2015"]]}}}],"schema":"https://github.com/citation-style-language/schema/raw/master/csl-citation.json"}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(Taylor et al., 2015)</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DF0F79" w:rsidRPr="00883FC0">
        <w:rPr>
          <w:rFonts w:ascii="Arial" w:hAnsi="Arial" w:cs="Arial"/>
          <w:sz w:val="24"/>
          <w:szCs w:val="24"/>
          <w:lang w:val="en-GB"/>
        </w:rPr>
        <w:t>I</w:t>
      </w:r>
      <w:r w:rsidRPr="00883FC0">
        <w:rPr>
          <w:rFonts w:ascii="Arial" w:hAnsi="Arial" w:cs="Arial"/>
          <w:sz w:val="24"/>
          <w:szCs w:val="24"/>
          <w:lang w:val="en-GB"/>
        </w:rPr>
        <w:t>nfection of a phylogenetically related species, the Pyrenean ibex (</w:t>
      </w:r>
      <w:r w:rsidRPr="00883FC0">
        <w:rPr>
          <w:rFonts w:ascii="Arial" w:hAnsi="Arial" w:cs="Arial"/>
          <w:i/>
          <w:sz w:val="24"/>
          <w:szCs w:val="24"/>
          <w:lang w:val="en-GB"/>
        </w:rPr>
        <w:t>Capra pyrenaica pyrenaica</w:t>
      </w:r>
      <w:r w:rsidRPr="00883FC0">
        <w:rPr>
          <w:rFonts w:ascii="Arial" w:hAnsi="Arial" w:cs="Arial"/>
          <w:sz w:val="24"/>
          <w:szCs w:val="24"/>
          <w:lang w:val="en-GB"/>
        </w:rPr>
        <w:t xml:space="preserve">), with a few thousand </w:t>
      </w:r>
      <w:r w:rsidR="00317797" w:rsidRPr="00883FC0">
        <w:rPr>
          <w:rFonts w:ascii="Arial" w:hAnsi="Arial" w:cs="Arial"/>
          <w:i/>
          <w:sz w:val="24"/>
          <w:szCs w:val="24"/>
          <w:lang w:val="en-GB"/>
        </w:rPr>
        <w:t xml:space="preserve">Haemonchus </w:t>
      </w:r>
      <w:r w:rsidRPr="00883FC0">
        <w:rPr>
          <w:rFonts w:ascii="Arial" w:hAnsi="Arial" w:cs="Arial"/>
          <w:i/>
          <w:sz w:val="24"/>
          <w:szCs w:val="24"/>
          <w:lang w:val="en-GB"/>
        </w:rPr>
        <w:t>contortus</w:t>
      </w:r>
      <w:r w:rsidRPr="00883FC0">
        <w:rPr>
          <w:rFonts w:ascii="Arial" w:hAnsi="Arial" w:cs="Arial"/>
          <w:sz w:val="24"/>
          <w:szCs w:val="24"/>
          <w:lang w:val="en-GB"/>
        </w:rPr>
        <w:t xml:space="preserve"> resulted in severe clinical signs, including extremely low weight and </w:t>
      </w:r>
      <w:proofErr w:type="spellStart"/>
      <w:r w:rsidRPr="00883FC0">
        <w:rPr>
          <w:rFonts w:ascii="Arial" w:hAnsi="Arial" w:cs="Arial"/>
          <w:sz w:val="24"/>
          <w:szCs w:val="24"/>
          <w:lang w:val="en-GB"/>
        </w:rPr>
        <w:t>hemorrhagic</w:t>
      </w:r>
      <w:proofErr w:type="spellEnd"/>
      <w:r w:rsidRPr="00883FC0">
        <w:rPr>
          <w:rFonts w:ascii="Arial" w:hAnsi="Arial" w:cs="Arial"/>
          <w:sz w:val="24"/>
          <w:szCs w:val="24"/>
          <w:lang w:val="en-GB"/>
        </w:rPr>
        <w:t xml:space="preserve"> </w:t>
      </w:r>
      <w:proofErr w:type="spellStart"/>
      <w:r w:rsidRPr="00883FC0">
        <w:rPr>
          <w:rFonts w:ascii="Arial" w:hAnsi="Arial" w:cs="Arial"/>
          <w:sz w:val="24"/>
          <w:szCs w:val="24"/>
          <w:lang w:val="en-GB"/>
        </w:rPr>
        <w:t>anemia</w:t>
      </w:r>
      <w:proofErr w:type="spellEnd"/>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{"citationID":"a1lqmnkocir","properties":{"formattedCitation":"(Lav\\uc0\\u237{}n et al., 1997)","plainCitation":"(Lavín et al., 1997)","noteIndex":0},"citationItems":[{"id":4560,"uris":["http://zotero.org/users/local/NciqjDvn/items/RZ279H83"],"itemData":{"id":4560,"type":"article-journal","abstract":"Two cases of haemonchosis occurred in the Spanish ibex (Capra pyrenaica) population of the National Hunting Reserve of Tortosa and Beseit, northeastern Spain, in July 1992 and May 1993. The animals were cachectic and recumbent and had an acute hemorrhagic, macrocytic and hypochromic anemia; which was related to a high infection of 2,016 and 1,863 Haemonchus contortus, respectively, in the abomasum of the animals.","container-title":"Journal of Wildlife Diseases","DOI":"10.7589/0090-3558-33.3.656","ISSN":"0090-3558, 1943-3700","issue":"3","journalAbbreviation":"jwdi","note":"publisher: Wildlife Disease Association","page":"656-659","source":"bioone.org","title":"Haemonchosis in Spanish Ibex","volume":"33","author":[{"family":"Lavín","given":"Santiago"},{"family":"Marco","given":"Ignacio"},{"family":"Rossi","given":"Luca"},{"family":"Meneguz","given":"Pier Giuseppe"},{"family":"Viñas","given":"Luis"}],"issued":{"date-parts":[["1997",7]]}}}],"schema":"https://github.com/citation-style-language/schema/raw/master/csl-citation.json"}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(Lavín et al., 1997)</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045BC5" w:rsidRPr="00045BC5">
        <w:rPr>
          <w:rFonts w:ascii="Arial" w:hAnsi="Arial" w:cs="Arial"/>
          <w:sz w:val="24"/>
          <w:szCs w:val="24"/>
          <w:highlight w:val="yellow"/>
          <w:lang w:val="en-GB"/>
        </w:rPr>
        <w:t>A</w:t>
      </w:r>
      <w:r w:rsidRPr="00045BC5">
        <w:rPr>
          <w:rFonts w:ascii="Arial" w:hAnsi="Arial" w:cs="Arial"/>
          <w:sz w:val="24"/>
          <w:szCs w:val="24"/>
          <w:highlight w:val="yellow"/>
          <w:lang w:val="en-GB"/>
        </w:rPr>
        <w:t>ddition</w:t>
      </w:r>
      <w:r w:rsidR="00045BC5" w:rsidRPr="00045BC5">
        <w:rPr>
          <w:rFonts w:ascii="Arial" w:hAnsi="Arial" w:cs="Arial"/>
          <w:sz w:val="24"/>
          <w:szCs w:val="24"/>
          <w:highlight w:val="yellow"/>
          <w:lang w:val="en-GB"/>
        </w:rPr>
        <w:t>ally</w:t>
      </w:r>
      <w:r w:rsidRPr="00883FC0">
        <w:rPr>
          <w:rFonts w:ascii="Arial" w:hAnsi="Arial" w:cs="Arial"/>
          <w:sz w:val="24"/>
          <w:szCs w:val="24"/>
          <w:lang w:val="en-GB"/>
        </w:rPr>
        <w:t xml:space="preserve">, </w:t>
      </w:r>
      <w:proofErr w:type="spellStart"/>
      <w:r w:rsidR="00317797" w:rsidRPr="00883FC0">
        <w:rPr>
          <w:rFonts w:ascii="Arial" w:hAnsi="Arial" w:cs="Arial"/>
          <w:i/>
          <w:sz w:val="24"/>
          <w:szCs w:val="24"/>
          <w:lang w:val="en-GB"/>
        </w:rPr>
        <w:t>Haemonchus</w:t>
      </w:r>
      <w:proofErr w:type="spellEnd"/>
      <w:r w:rsidR="00317797" w:rsidRPr="00883FC0">
        <w:rPr>
          <w:rFonts w:ascii="Arial" w:hAnsi="Arial" w:cs="Arial"/>
          <w:i/>
          <w:sz w:val="24"/>
          <w:szCs w:val="24"/>
          <w:lang w:val="en-GB"/>
        </w:rPr>
        <w:t xml:space="preserve"> </w:t>
      </w:r>
      <w:proofErr w:type="spellStart"/>
      <w:r w:rsidRPr="00883FC0">
        <w:rPr>
          <w:rFonts w:ascii="Arial" w:hAnsi="Arial" w:cs="Arial"/>
          <w:i/>
          <w:sz w:val="24"/>
          <w:szCs w:val="24"/>
          <w:lang w:val="en-GB"/>
        </w:rPr>
        <w:t>contortus</w:t>
      </w:r>
      <w:proofErr w:type="spellEnd"/>
      <w:r w:rsidRPr="00883FC0">
        <w:rPr>
          <w:rFonts w:ascii="Arial" w:hAnsi="Arial" w:cs="Arial"/>
          <w:sz w:val="24"/>
          <w:szCs w:val="24"/>
          <w:lang w:val="en-GB"/>
        </w:rPr>
        <w:t xml:space="preserve"> may have </w:t>
      </w:r>
      <w:r w:rsidR="00291B07" w:rsidRPr="00883FC0">
        <w:rPr>
          <w:rFonts w:ascii="Arial" w:hAnsi="Arial" w:cs="Arial"/>
          <w:sz w:val="24"/>
          <w:szCs w:val="24"/>
          <w:lang w:val="en-GB"/>
        </w:rPr>
        <w:t>contributed to</w:t>
      </w:r>
      <w:r w:rsidR="006B61CA" w:rsidRPr="00883FC0">
        <w:rPr>
          <w:rFonts w:ascii="Arial" w:hAnsi="Arial" w:cs="Arial"/>
          <w:sz w:val="24"/>
          <w:szCs w:val="24"/>
          <w:lang w:val="en-GB"/>
        </w:rPr>
        <w:t xml:space="preserve"> the collapse</w:t>
      </w:r>
      <w:r w:rsidRPr="00883FC0">
        <w:rPr>
          <w:rFonts w:ascii="Arial" w:hAnsi="Arial" w:cs="Arial"/>
          <w:sz w:val="24"/>
          <w:szCs w:val="24"/>
          <w:lang w:val="en-GB"/>
        </w:rPr>
        <w:t xml:space="preserve"> of the Northern Chamois</w:t>
      </w:r>
      <w:r w:rsidR="009800BC" w:rsidRPr="00883FC0">
        <w:rPr>
          <w:rFonts w:ascii="Arial" w:hAnsi="Arial" w:cs="Arial"/>
          <w:sz w:val="24"/>
          <w:szCs w:val="24"/>
          <w:lang w:val="en-GB"/>
        </w:rPr>
        <w:t xml:space="preserve">, </w:t>
      </w:r>
      <w:r w:rsidR="009800BC" w:rsidRPr="00883FC0">
        <w:rPr>
          <w:rFonts w:ascii="Arial" w:hAnsi="Arial" w:cs="Arial"/>
          <w:i/>
          <w:sz w:val="24"/>
          <w:szCs w:val="24"/>
          <w:lang w:val="en-GB"/>
        </w:rPr>
        <w:t xml:space="preserve">Rupicapra </w:t>
      </w:r>
      <w:proofErr w:type="spellStart"/>
      <w:r w:rsidR="009800BC" w:rsidRPr="00883FC0">
        <w:rPr>
          <w:rFonts w:ascii="Arial" w:hAnsi="Arial" w:cs="Arial"/>
          <w:i/>
          <w:sz w:val="24"/>
          <w:szCs w:val="24"/>
          <w:lang w:val="en-GB"/>
        </w:rPr>
        <w:t>rupicapra</w:t>
      </w:r>
      <w:proofErr w:type="spellEnd"/>
      <w:r w:rsidR="009800BC" w:rsidRPr="00883FC0">
        <w:rPr>
          <w:rFonts w:ascii="Arial" w:hAnsi="Arial" w:cs="Arial"/>
          <w:sz w:val="24"/>
          <w:szCs w:val="24"/>
          <w:lang w:val="en-GB"/>
        </w:rPr>
        <w:t>,</w:t>
      </w:r>
      <w:r w:rsidRPr="00883FC0">
        <w:rPr>
          <w:rFonts w:ascii="Arial" w:hAnsi="Arial" w:cs="Arial"/>
          <w:i/>
          <w:sz w:val="24"/>
          <w:szCs w:val="24"/>
          <w:lang w:val="en-GB"/>
        </w:rPr>
        <w:t xml:space="preserve"> </w:t>
      </w:r>
      <w:r w:rsidRPr="00883FC0">
        <w:rPr>
          <w:rFonts w:ascii="Arial" w:hAnsi="Arial" w:cs="Arial"/>
          <w:sz w:val="24"/>
          <w:szCs w:val="24"/>
          <w:lang w:val="en-GB"/>
        </w:rPr>
        <w:t xml:space="preserve">in the province of Lecco, Italy from November 2000 to March 2001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{"citationID":"a1m02g8q0i1","properties":{"formattedCitation":"(Citterio et al., 2006)","plainCitation":"(Citterio et al., 2006)","noteIndex":0},"citationItems":[{"id":4558,"uris":["http://zotero.org/users/local/NciqjDvn/items/7LHC8843"],"itemData":{"id":4558,"type":"article-journal","abstract":"Abomasa of 185 chamois shot during 5 consecutive hunting seasons were collected as part of a health monitoring program in an alpine area of Italy and examined for nematodes. The data were obtained during both the preceding period and that following a severe die-off caused by a pneumonia outbreak. Prevalence, mean abundance, mean intensity, and Thul Importance index were consistently high, in particular for Haemonchus contortus, having a low host specificity and high pathogenic potential. Species typical of cervids were also consistently detected. The abomasal nematode community showed an isolationist structure, suggesting its composition was primarily determined by external factors such as interspecific interaction among host species and environmental conditions. The effect of different factors (host sex, sampling site, and time) on nematode counts and aggregation were analyzed and discussed considering the peculiarities of the study site and the chamois population crash. In the light of parallel results for health monitoring, abomasal parasitism could represent a predisposing factor for the observed die-off.","container-title":"The Journal of Parasitology","ISSN":"0022-3395","issue":"5","note":"publisher: [The American Society of Parasitologists, Allen Press]","page":"918-927","source":"JSTOR","title":"Abomasal Nematode Community in an Alpine Chamois (&lt;i&gt; Rupicapra r. rupicapra&lt;/i&gt; ) Population before and after a Die-Off","volume":"92","author":[{"family":"Citterio","given":"Carlo V."},{"family":"Caslini","given":"Chiara"},{"family":"Milani","given":"Franco"},{"family":"Sala","given":"Marcello"},{"family":"Ferrari","given":"Nicola"},{"family":"Lanfranchi","given":"Paolo"}],"issued":{"date-parts":[["2006"]]}}}],"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(Citterio et al., 2006)</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6B61CA" w:rsidRPr="00883FC0">
        <w:rPr>
          <w:rFonts w:ascii="Arial" w:hAnsi="Arial" w:cs="Arial"/>
          <w:sz w:val="24"/>
          <w:szCs w:val="24"/>
          <w:lang w:val="en-GB"/>
        </w:rPr>
        <w:t>As</w:t>
      </w:r>
      <w:r w:rsidRPr="00883FC0">
        <w:rPr>
          <w:rFonts w:ascii="Arial" w:hAnsi="Arial" w:cs="Arial"/>
          <w:sz w:val="24"/>
          <w:szCs w:val="24"/>
          <w:lang w:val="en-GB"/>
        </w:rPr>
        <w:t xml:space="preserve"> gastrointestinal nematodes can </w:t>
      </w:r>
      <w:r w:rsidR="006B61CA" w:rsidRPr="00883FC0">
        <w:rPr>
          <w:rFonts w:ascii="Arial" w:hAnsi="Arial" w:cs="Arial"/>
          <w:sz w:val="24"/>
          <w:szCs w:val="24"/>
          <w:lang w:val="en-GB"/>
        </w:rPr>
        <w:t xml:space="preserve">have an </w:t>
      </w:r>
      <w:r w:rsidRPr="00883FC0">
        <w:rPr>
          <w:rFonts w:ascii="Arial" w:hAnsi="Arial" w:cs="Arial"/>
          <w:sz w:val="24"/>
          <w:szCs w:val="24"/>
          <w:lang w:val="en-GB"/>
        </w:rPr>
        <w:t>impact</w:t>
      </w:r>
      <w:r w:rsidR="006B61CA" w:rsidRPr="00883FC0">
        <w:rPr>
          <w:rFonts w:ascii="Arial" w:hAnsi="Arial" w:cs="Arial"/>
          <w:sz w:val="24"/>
          <w:szCs w:val="24"/>
          <w:lang w:val="en-GB"/>
        </w:rPr>
        <w:t xml:space="preserve"> on</w:t>
      </w:r>
      <w:r w:rsidRPr="00883FC0">
        <w:rPr>
          <w:rFonts w:ascii="Arial" w:hAnsi="Arial" w:cs="Arial"/>
          <w:sz w:val="24"/>
          <w:szCs w:val="24"/>
          <w:lang w:val="en-GB"/>
        </w:rPr>
        <w:t xml:space="preserve"> the demographic dynamic</w:t>
      </w:r>
      <w:r w:rsidR="006B61CA" w:rsidRPr="00883FC0">
        <w:rPr>
          <w:rFonts w:ascii="Arial" w:hAnsi="Arial" w:cs="Arial"/>
          <w:sz w:val="24"/>
          <w:szCs w:val="24"/>
          <w:lang w:val="en-GB"/>
        </w:rPr>
        <w:t>s</w:t>
      </w:r>
      <w:r w:rsidRPr="00883FC0">
        <w:rPr>
          <w:rFonts w:ascii="Arial" w:hAnsi="Arial" w:cs="Arial"/>
          <w:sz w:val="24"/>
          <w:szCs w:val="24"/>
          <w:lang w:val="en-GB"/>
        </w:rPr>
        <w:t xml:space="preserve"> of</w:t>
      </w:r>
      <w:r w:rsidR="006B61CA" w:rsidRPr="00883FC0">
        <w:rPr>
          <w:rFonts w:ascii="Arial" w:hAnsi="Arial" w:cs="Arial"/>
          <w:sz w:val="24"/>
          <w:szCs w:val="24"/>
          <w:lang w:val="en-GB"/>
        </w:rPr>
        <w:t xml:space="preserve"> </w:t>
      </w:r>
      <w:r w:rsidRPr="00883FC0">
        <w:rPr>
          <w:rFonts w:ascii="Arial" w:hAnsi="Arial" w:cs="Arial"/>
          <w:sz w:val="24"/>
          <w:szCs w:val="24"/>
          <w:lang w:val="en-GB"/>
        </w:rPr>
        <w:t>host population</w:t>
      </w:r>
      <w:r w:rsidR="00045BC5" w:rsidRPr="00045BC5">
        <w:rPr>
          <w:rFonts w:ascii="Arial" w:hAnsi="Arial" w:cs="Arial"/>
          <w:sz w:val="24"/>
          <w:szCs w:val="24"/>
          <w:highlight w:val="yellow"/>
          <w:lang w:val="en-GB"/>
        </w:rPr>
        <w:t>s</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{"citationID":"a2j9nelbrvs","properties":{"formattedCitation":"(Acerini et al., 2022; Albery et al., 2021; Albon et al., 2002)","plainCitation":"(Acerini et al., 2022; Albery et al., 2021; Albon et al., 2002)","noteIndex":0},"citationItems":[{"id":4382,"uris":["http://zotero.org/users/local/NciqjDvn/items/I5VH4HR2"],"itemData":{"id":4382,"type":"article-journal","abstract":", Helminths are common parasites of wild ungulates that can have substantial costs for growth, mortality and reproduction. Whilst these costs are relatively well documented for mature animals, knowledge of helminths' impacts on juveniles is more limited. Identifying these effects is important because young individuals are often heavily infected, and juvenile mortality is a key process regulating wild populations. Here, we investigated associations between helminth infection and overwinter survival in juvenile wild red deer (Cervus elaphus) on the Isle of Rum, Scotland. We collected fecal samples non-invasively from known individuals and used them to count propagules of 3 helminth taxa (strongyle nematodes, Fasciola hepatica and Elaphostrongylus cervi). Using generalized linear models, we investigated associations between parasite counts and overwinter survival for calves and yearlings. Strongyles were associated with reduced survival in both age classes, and F. hepatica was associated with reduced survival in yearlings, whilst E. cervi infection showed no association with survival in either age class. This study provides observational evidence for fitness costs of helminth infection in juveniles of a wild mammal, and suggests that these parasites could play a role in regulating population dynamics.","container-title":"Parasitology","DOI":"10.1017/S0031182022001111","ISSN":"0031-1820, 1469-8161","issue":"13","language":"en","note":"publisher: Cambridge University Press","page":"1702-1708","source":"Cambridge University Press","title":"Helminth parasites are associated with reduced survival probability in young red deer","volume":"149","author":[{"family":"Acerini","given":"Claudia I."},{"family":"Morris","given":"Sean"},{"family":"Morris","given":"Alison"},{"family":"Kenyon","given":"Fiona"},{"family":"McBean","given":"David"},{"family":"Pemberton","given":"Josephine M."},{"family":"Albery","given":"Gregory F."}],"issued":{"date-parts":[["2022",11]]}}},{"id":4681,"uris":["http://zotero.org/users/local/NciqjDvn/items/6TEG3W47"],"itemData":{"id":4681,"type":"article-journal","abstract":"Reproduction in wild animals can divert limited resources away from immune defense, resulting in increased parasite burdens. A long-standing prediction of life-history theory states that these parasites can harm the reproductive individual, reducing its subsequent survival and fecundity, producing reproduction-fitness trade-offs. Here, we examined associations among reproductive allocation, immunity, parasitism, and subsequent survival and fecundity in a wild population of individually identified red deer (Cervus elaphus). Using path analysis, we investigated whether costs of lactation in terms of downstream survival and fecundity were mediated by changes in strongyle nematode count and mucosal antibody levels. Lactating females exhibited increased parasite counts, which were in turn associated with substantially decreased fitness in the following year in terms of overwinter survival, fecundity, subsequent calf weight, and parturition date. This study offers observational evidence for parasite regulation of multiple life-history trade-offs, supporting the role of parasites as an important mediating factor in wild mammal populations.","container-title":"The American Naturalist","DOI":"10.1086/712633","ISSN":"0003-0147","issue":"3","note":"publisher: The University of Chicago Press","page":"324-335","source":"journals.uchicago.edu (Atypon)","title":"Fitness costs of parasites explain multiple life-history trade-offs in a wild mammal","volume":"197","author":[{"family":"Albery","given":"Gregory F."},{"family":"Morris","given":"Alison"},{"family":"Morris","given":"Sean"},{"family":"Kenyon","given":"Fiona"},{"family":"Nussey","given":"Daniel H."},{"family":"Pemberton","given":"Josephine M."}],"issued":{"date-parts":[["2021",3]]}}},{"id":1085,"uris":["http://zotero.org/users/local/NciqjDvn/items/R7HQGGHR"],"itemData":{"id":1085,"type":"article-journal","abstract":"Even though theoretical models show that parasites may regulate host population densities, few empirical studies have given support to this hypothesis. We present experimental and observational evidence for a host–parasite interaction where the parasite has sufficient impact on host population dynamics for regulation to occur. During a six year study of the Svalbard reindeer and its parasitic gastrointestinal nematode Ostertagia gruehneri we found that anthelminthic treatment in April–May increased the probability of a reindeer having a calf in the next year, compared with untreated controls. However, treatment did not influence the over–winter survival of the reindeer. The annual variation in the degree to which parasites depressed fecundity was positively related to the abundance of O. gruehneri infection the previous October, which in turn was related to host density two years earlier. In addition to the treatment effect, there was a strong negative effect of winter precipitation on the probability of female reindeer having a calf. A simple matrix model was parameterized using estimates from our experimental and observational data. This model shows that the parasite–mediated effect on fecundity was sufficient to regulate reindeer densities around observed host densities.","container-title":"Proceedings of the Royal Society of London. Series B: Biological Sciences","DOI":"10.1098/rspb.2002.2064","journalAbbreviation":"Proceedings of the Royal Society of London B: Biological Sciences","note":"publisher: Royal Society","page":"1625-1632","source":"royalsocietypublishing-org.camphrier-2.grenet.fr (Atypon)","title":"The role of parasites in the dynamics of a reindeer population","volume":"269","author":[{"family":"Albon","given":"S. D."},{"family":"Stien","given":"A."},{"family":"Irvine","given":"R. J."},{"family":"Langvatn","given":"R."},{"family":"Ropstad","given":"E."},{"family":"Halvorsen","given":"O."}],"issued":{"date-parts":[["2002",8,7]]}}}],"schema":"https://github.com/citation-style-language/schema/raw/master/csl-citation.json"}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(Acerini et al., 2022; Albery et al., 2021; Albon et al., 2002)</w:t>
      </w:r>
      <w:r w:rsidRPr="00883FC0">
        <w:rPr>
          <w:rFonts w:ascii="Arial" w:hAnsi="Arial" w:cs="Arial"/>
          <w:sz w:val="24"/>
          <w:szCs w:val="24"/>
          <w:lang w:val="en-GB"/>
        </w:rPr>
        <w:fldChar w:fldCharType="end"/>
      </w:r>
      <w:r w:rsidRPr="00883FC0">
        <w:rPr>
          <w:rFonts w:ascii="Arial" w:hAnsi="Arial" w:cs="Arial"/>
          <w:sz w:val="24"/>
          <w:szCs w:val="24"/>
          <w:lang w:val="en-GB"/>
        </w:rPr>
        <w:t>, they are suspected</w:t>
      </w:r>
      <w:r w:rsidR="006B61CA" w:rsidRPr="00883FC0">
        <w:rPr>
          <w:rFonts w:ascii="Arial" w:hAnsi="Arial" w:cs="Arial"/>
          <w:sz w:val="24"/>
          <w:szCs w:val="24"/>
          <w:lang w:val="en-GB"/>
        </w:rPr>
        <w:t xml:space="preserve"> of</w:t>
      </w:r>
      <w:r w:rsidRPr="00883FC0">
        <w:rPr>
          <w:rFonts w:ascii="Arial" w:hAnsi="Arial" w:cs="Arial"/>
          <w:sz w:val="24"/>
          <w:szCs w:val="24"/>
          <w:lang w:val="en-GB"/>
        </w:rPr>
        <w:t xml:space="preserve"> be</w:t>
      </w:r>
      <w:r w:rsidR="006B61CA" w:rsidRPr="00883FC0">
        <w:rPr>
          <w:rFonts w:ascii="Arial" w:hAnsi="Arial" w:cs="Arial"/>
          <w:sz w:val="24"/>
          <w:szCs w:val="24"/>
          <w:lang w:val="en-GB"/>
        </w:rPr>
        <w:t>ing</w:t>
      </w:r>
      <w:r w:rsidRPr="00883FC0">
        <w:rPr>
          <w:rFonts w:ascii="Arial" w:hAnsi="Arial" w:cs="Arial"/>
          <w:sz w:val="24"/>
          <w:szCs w:val="24"/>
          <w:lang w:val="en-GB"/>
        </w:rPr>
        <w:t xml:space="preserve"> </w:t>
      </w:r>
      <w:r w:rsidR="005F7197" w:rsidRPr="00883FC0">
        <w:rPr>
          <w:rFonts w:ascii="Arial" w:hAnsi="Arial" w:cs="Arial"/>
          <w:sz w:val="24"/>
          <w:szCs w:val="24"/>
          <w:lang w:val="en-GB"/>
        </w:rPr>
        <w:t>behind</w:t>
      </w:r>
      <w:r w:rsidRPr="00883FC0">
        <w:rPr>
          <w:rFonts w:ascii="Arial" w:hAnsi="Arial" w:cs="Arial"/>
          <w:sz w:val="24"/>
          <w:szCs w:val="24"/>
          <w:lang w:val="en-GB"/>
        </w:rPr>
        <w:t xml:space="preserve"> the </w:t>
      </w:r>
      <w:r w:rsidR="006B61CA" w:rsidRPr="00883FC0">
        <w:rPr>
          <w:rFonts w:ascii="Arial" w:hAnsi="Arial" w:cs="Arial"/>
          <w:sz w:val="24"/>
          <w:szCs w:val="24"/>
          <w:lang w:val="en-GB"/>
        </w:rPr>
        <w:t>low</w:t>
      </w:r>
      <w:r w:rsidRPr="00883FC0">
        <w:rPr>
          <w:rFonts w:ascii="Arial" w:hAnsi="Arial" w:cs="Arial"/>
          <w:sz w:val="24"/>
          <w:szCs w:val="24"/>
          <w:lang w:val="en-GB"/>
        </w:rPr>
        <w:t xml:space="preserve"> natality rates observed in the French Alpine ibex populations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{"citationID":"ac65553mvb","properties":{"formattedCitation":"(Brambilla et al., 2020)","plainCitation":"(Brambilla et al., 2020)","noteIndex":0},"citationItems":[{"id":2804,"uris":["http://zotero.org/users/local/NciqjDvn/items/HSP8GDYV"],"itemData":{"id":2804,"type":"article-journal","abstract":"Despite its recent successful and well-documented reintroduction history, a comprehensive and current update of the distribution and status of the Alpine ibex Capra ibex is lacking. As some concerns persist about its conservation, a status update appears essential for future conservation and management strategies on a large scale. We provide an exhaustive update of the geographic range of the species, alongside estimates of its current abundance and population trends from 2004 to 2015. We gathered census and distribution data for all the Alpine ibex colonies from management authorities and research groups that monitor them in different countries, and from the literature and publicly available reports. We produced a distribution map, reported the number of individuals observed in the most recent censuses, and estimated global, national, and local population trends using Bayesian hierarchical models. Our model estimated that there were a total of 55297 Alpine ibex in the Alps in 2015 (lower 95% credible interval [CrI]: 51157; upper 95% CrI: 62710). The total number of individuals appears to have increased slightly over the last 10 years from the 47000-51000 estimated in previous reports. Positive population trends were observed in Switzerland and Italy, while no trend was apparent in France. For Austria, Germany, and Slovenia, there were insufficient data to estimate a trend. The slopes of the colonies’ trends were positively correlated with the year of colony foundation. The geographic range of the Alpine ibex does not seem to have increased in size in recent years, although the accuracy of the spatial data varies among countries. The periodic and standardised collection of census data for all colonies and a common policy of data sharing at a European level appear essential for monitoring the global trend of this species and for planning balanced conservation and management actions.","container-title":"Mammal Review","DOI":"10.1111/mam.12194","ISSN":"1365-2907","issue":"3","language":"en","note":"_eprint: https://onlinelibrary.wiley.com/doi/pdf/10.1111/mam.12194","page":"267-277","source":"Wiley Online Library","title":"Distribution, status, and recent population dynamics of Alpine ibex &lt;i&gt; Capra ibex&lt;/i&gt;  in Europe","volume":"50","author":[{"family":"Brambilla","given":"Alice"},{"family":"Von Hardenberg","given":"Achaz"},{"family":"Nelli","given":"Luca"},{"family":"Bassano","given":"Bruno"}],"issued":{"date-parts":[["2020"]]}}}],"schema":"https://github.com/citation-style-language/schema/raw/master/csl-citation.json"}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 xml:space="preserve">(Brambilla et al., </w:t>
      </w:r>
      <w:r w:rsidR="00991FDE" w:rsidRPr="00883FC0">
        <w:rPr>
          <w:rFonts w:ascii="Arial" w:hAnsi="Arial" w:cs="Arial"/>
          <w:sz w:val="24"/>
          <w:lang w:val="en-US"/>
        </w:rPr>
        <w:lastRenderedPageBreak/>
        <w:t>2020)</w:t>
      </w:r>
      <w:r w:rsidRPr="00883FC0">
        <w:rPr>
          <w:rFonts w:ascii="Arial" w:hAnsi="Arial" w:cs="Arial"/>
          <w:sz w:val="24"/>
          <w:szCs w:val="24"/>
          <w:lang w:val="en-GB"/>
        </w:rPr>
        <w:fldChar w:fldCharType="end"/>
      </w:r>
      <w:r w:rsidRPr="00883FC0">
        <w:rPr>
          <w:rFonts w:ascii="Arial" w:hAnsi="Arial" w:cs="Arial"/>
          <w:sz w:val="24"/>
          <w:szCs w:val="24"/>
          <w:lang w:val="en-GB"/>
        </w:rPr>
        <w:t xml:space="preserve">. While Alpine ibex </w:t>
      </w:r>
      <w:r w:rsidR="006B61CA" w:rsidRPr="00883FC0">
        <w:rPr>
          <w:rFonts w:ascii="Arial" w:hAnsi="Arial" w:cs="Arial"/>
          <w:sz w:val="24"/>
          <w:szCs w:val="24"/>
          <w:lang w:val="en-GB"/>
        </w:rPr>
        <w:t xml:space="preserve">appear </w:t>
      </w:r>
      <w:r w:rsidRPr="00883FC0">
        <w:rPr>
          <w:rFonts w:ascii="Arial" w:hAnsi="Arial" w:cs="Arial"/>
          <w:sz w:val="24"/>
          <w:szCs w:val="24"/>
          <w:lang w:val="en-GB"/>
        </w:rPr>
        <w:t xml:space="preserve">to be </w:t>
      </w:r>
      <w:r w:rsidR="006B61CA" w:rsidRPr="00883FC0">
        <w:rPr>
          <w:rFonts w:ascii="Arial" w:hAnsi="Arial" w:cs="Arial"/>
          <w:sz w:val="24"/>
          <w:szCs w:val="24"/>
          <w:lang w:val="en-GB"/>
        </w:rPr>
        <w:t>fairly</w:t>
      </w:r>
      <w:r w:rsidRPr="00883FC0">
        <w:rPr>
          <w:rFonts w:ascii="Arial" w:hAnsi="Arial" w:cs="Arial"/>
          <w:sz w:val="24"/>
          <w:szCs w:val="24"/>
          <w:lang w:val="en-GB"/>
        </w:rPr>
        <w:t xml:space="preserve"> resilient to parasite infection</w:t>
      </w:r>
      <w:r w:rsidR="006B61CA" w:rsidRPr="00883FC0">
        <w:rPr>
          <w:rFonts w:ascii="Arial" w:hAnsi="Arial" w:cs="Arial"/>
          <w:sz w:val="24"/>
          <w:szCs w:val="24"/>
          <w:lang w:val="en-GB"/>
        </w:rPr>
        <w:t>s</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{"citationID":"a1rls3hl8ka","properties":{"formattedCitation":"(Marreros et al., 2012)","plainCitation":"(Marreros et al., 2012)","noteIndex":0},"citationItems":[{"id":2771,"uris":["http://zotero.org/users/local/NciqjDvn/items/S3HTN44W"],"itemData":{"id":2771,"type":"article-journal","abstract":"To provide baseline parasitological data for health surveillance in free-ranging Alpine ibex (Capra ibex ibex), we assessed the endoparasite population and level of parasitism in apparently healthy ibex. Faecal samples from 148 ibex were collected between 2006 and 2008 in two different Swiss ibex colonies. They were analysed by coprology, including combined sedimentation/flotation method, sedimentation method, Baermann funnel technique and Ziehl-Neelsen staining. Gastrointestinal parasites and lungworms were identified in 100% and 81.8% of the examined animals, respectively. Highest prevalences were recorded for gastrointestinal strongylids other than Nematodirus/Marshallagia spp. (100%), Eimeria spp. (100%), Muellerius spp. (79.8%) and Nematodirus/Marshallagia spp. (79.0%). We report for the first time Cryptosporidium sp. in free-ranging Alpine ibex and Cystocaulus spp. in free-ranging ibex from Switzerland. On average, ibex were infected with 3.9 different parasites taxa (range: 1–8). Parasite prevalence and diversity varied significantly between sexes, study sites and seasons. Parasite egg output was low in 95.7% and moderate in 5.3% of the samples. Overall, the results indicate that Alpine ibex are widely infected with endoparasites and suggest that multiple infections are very common in apparently healthy populations. Furthermore, our data underline the potential influence of factors such as sex, study site and season on parasitological findings.","container-title":"Veterinary Parasitology","DOI":"10.1016/j.vetpar.2011.11.009","ISSN":"0304-4017","issue":"3","journalAbbreviation":"Veterinary Parasitology","language":"en","page":"382-389","source":"ScienceDirect","title":"Coprological analyses on apparently healthy Alpine ibex (&lt;i&gt;Capra ibex ibex&lt;/i&gt;) from two Swiss colonies","volume":"186","author":[{"family":"Marreros","given":"Nelson"},{"family":"Frey","given":"Caroline F."},{"family":"Willisch","given":"Christian S."},{"family":"Signer","given":"Claudio"},{"family":"Ryser-Degiorgis","given":"Marie-Pierre"}],"issued":{"date-parts":[["2012",5,25]]}}}],"schema":"https://github.com/citation-style-language/schema/raw/master/csl-citation.json"}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(Marreros et al., 2012)</w:t>
      </w:r>
      <w:r w:rsidRPr="00883FC0">
        <w:rPr>
          <w:rFonts w:ascii="Arial" w:hAnsi="Arial" w:cs="Arial"/>
          <w:sz w:val="24"/>
          <w:szCs w:val="24"/>
          <w:lang w:val="en-GB"/>
        </w:rPr>
        <w:fldChar w:fldCharType="end"/>
      </w:r>
      <w:r w:rsidRPr="00883FC0">
        <w:rPr>
          <w:rFonts w:ascii="Arial" w:hAnsi="Arial" w:cs="Arial"/>
          <w:sz w:val="24"/>
          <w:szCs w:val="24"/>
          <w:lang w:val="en-GB"/>
        </w:rPr>
        <w:t>,</w:t>
      </w:r>
      <w:r w:rsidRPr="00883FC0" w:rsidDel="00BD7F8A">
        <w:rPr>
          <w:rFonts w:ascii="Arial" w:hAnsi="Arial" w:cs="Arial"/>
          <w:sz w:val="24"/>
          <w:szCs w:val="24"/>
          <w:lang w:val="en-GB"/>
        </w:rPr>
        <w:t xml:space="preserve"> </w:t>
      </w:r>
      <w:r w:rsidRPr="00883FC0">
        <w:rPr>
          <w:rFonts w:ascii="Arial" w:hAnsi="Arial" w:cs="Arial"/>
          <w:sz w:val="24"/>
          <w:szCs w:val="24"/>
          <w:lang w:val="en-GB"/>
        </w:rPr>
        <w:t xml:space="preserve">further investigations should be </w:t>
      </w:r>
      <w:r w:rsidR="006B61CA" w:rsidRPr="00883FC0">
        <w:rPr>
          <w:rFonts w:ascii="Arial" w:hAnsi="Arial" w:cs="Arial"/>
          <w:sz w:val="24"/>
          <w:szCs w:val="24"/>
          <w:lang w:val="en-GB"/>
        </w:rPr>
        <w:t>carried out</w:t>
      </w:r>
      <w:r w:rsidRPr="00883FC0">
        <w:rPr>
          <w:rFonts w:ascii="Arial" w:hAnsi="Arial" w:cs="Arial"/>
          <w:sz w:val="24"/>
          <w:szCs w:val="24"/>
          <w:lang w:val="en-GB"/>
        </w:rPr>
        <w:t xml:space="preserve"> to </w:t>
      </w:r>
      <w:r w:rsidR="006B61CA" w:rsidRPr="00883FC0">
        <w:rPr>
          <w:rFonts w:ascii="Arial" w:hAnsi="Arial" w:cs="Arial"/>
          <w:sz w:val="24"/>
          <w:szCs w:val="24"/>
          <w:lang w:val="en-GB"/>
        </w:rPr>
        <w:t xml:space="preserve">assess </w:t>
      </w:r>
      <w:r w:rsidRPr="00883FC0">
        <w:rPr>
          <w:rFonts w:ascii="Arial" w:hAnsi="Arial" w:cs="Arial"/>
          <w:sz w:val="24"/>
          <w:szCs w:val="24"/>
          <w:lang w:val="en-GB"/>
        </w:rPr>
        <w:t>the consequence</w:t>
      </w:r>
      <w:r w:rsidR="006B61CA" w:rsidRPr="00883FC0">
        <w:rPr>
          <w:rFonts w:ascii="Arial" w:hAnsi="Arial" w:cs="Arial"/>
          <w:sz w:val="24"/>
          <w:szCs w:val="24"/>
          <w:lang w:val="en-GB"/>
        </w:rPr>
        <w:t>s</w:t>
      </w:r>
      <w:r w:rsidRPr="00883FC0">
        <w:rPr>
          <w:rFonts w:ascii="Arial" w:hAnsi="Arial" w:cs="Arial"/>
          <w:sz w:val="24"/>
          <w:szCs w:val="24"/>
          <w:lang w:val="en-GB"/>
        </w:rPr>
        <w:t xml:space="preserve"> of gastrointestinal nematode infections for ibex at</w:t>
      </w:r>
      <w:r w:rsidR="006B61CA" w:rsidRPr="00883FC0">
        <w:rPr>
          <w:rFonts w:ascii="Arial" w:hAnsi="Arial" w:cs="Arial"/>
          <w:sz w:val="24"/>
          <w:szCs w:val="24"/>
          <w:lang w:val="en-GB"/>
        </w:rPr>
        <w:t xml:space="preserve"> both</w:t>
      </w:r>
      <w:r w:rsidRPr="00883FC0">
        <w:rPr>
          <w:rFonts w:ascii="Arial" w:hAnsi="Arial" w:cs="Arial"/>
          <w:sz w:val="24"/>
          <w:szCs w:val="24"/>
          <w:lang w:val="en-GB"/>
        </w:rPr>
        <w:t xml:space="preserve"> individual and population level</w:t>
      </w:r>
      <w:r w:rsidR="005F7197" w:rsidRPr="00883FC0">
        <w:rPr>
          <w:rFonts w:ascii="Arial" w:hAnsi="Arial" w:cs="Arial"/>
          <w:sz w:val="24"/>
          <w:szCs w:val="24"/>
          <w:lang w:val="en-GB"/>
        </w:rPr>
        <w:t>s</w:t>
      </w:r>
      <w:r w:rsidRPr="00883FC0">
        <w:rPr>
          <w:rFonts w:ascii="Arial" w:hAnsi="Arial" w:cs="Arial"/>
          <w:sz w:val="24"/>
          <w:szCs w:val="24"/>
          <w:lang w:val="en-GB"/>
        </w:rPr>
        <w:t xml:space="preserve">. </w:t>
      </w:r>
    </w:p>
    <w:p w14:paraId="73F4B609" w14:textId="73C6A0B0" w:rsidR="00E960B0" w:rsidRPr="00883FC0" w:rsidRDefault="00E960B0" w:rsidP="00A0712B">
      <w:pPr>
        <w:spacing w:after="0" w:line="360" w:lineRule="auto"/>
        <w:ind w:firstLine="360"/>
        <w:jc w:val="both"/>
        <w:rPr>
          <w:rFonts w:ascii="Arial" w:eastAsia="Times New Roman" w:hAnsi="Arial" w:cs="Arial"/>
          <w:sz w:val="24"/>
          <w:szCs w:val="24"/>
          <w:lang w:val="en-US" w:eastAsia="fr-FR"/>
        </w:rPr>
      </w:pPr>
      <w:bookmarkStart w:id="45" w:name="_Hlk159945848"/>
      <w:r w:rsidRPr="00883FC0">
        <w:rPr>
          <w:rFonts w:ascii="Arial" w:eastAsia="Times New Roman" w:hAnsi="Arial" w:cs="Arial"/>
          <w:sz w:val="24"/>
          <w:szCs w:val="24"/>
          <w:lang w:val="en-US" w:eastAsia="fr-FR"/>
        </w:rPr>
        <w:t xml:space="preserve">Several </w:t>
      </w:r>
      <w:r w:rsidR="00291B07" w:rsidRPr="00883FC0">
        <w:rPr>
          <w:rFonts w:ascii="Arial" w:eastAsia="Times New Roman" w:hAnsi="Arial" w:cs="Arial"/>
          <w:sz w:val="24"/>
          <w:szCs w:val="24"/>
          <w:lang w:val="en-US" w:eastAsia="fr-FR"/>
        </w:rPr>
        <w:t xml:space="preserve">of the </w:t>
      </w:r>
      <w:r w:rsidRPr="00883FC0">
        <w:rPr>
          <w:rFonts w:ascii="Arial" w:eastAsia="Times New Roman" w:hAnsi="Arial" w:cs="Arial"/>
          <w:sz w:val="24"/>
          <w:szCs w:val="24"/>
          <w:lang w:val="en-US" w:eastAsia="fr-FR"/>
        </w:rPr>
        <w:t xml:space="preserve">nematode species </w:t>
      </w:r>
      <w:r w:rsidR="00291B07" w:rsidRPr="00883FC0">
        <w:rPr>
          <w:rFonts w:ascii="Arial" w:eastAsia="Times New Roman" w:hAnsi="Arial" w:cs="Arial"/>
          <w:sz w:val="24"/>
          <w:szCs w:val="24"/>
          <w:lang w:val="en-US" w:eastAsia="fr-FR"/>
        </w:rPr>
        <w:t xml:space="preserve">we found </w:t>
      </w:r>
      <w:r w:rsidRPr="00883FC0">
        <w:rPr>
          <w:rFonts w:ascii="Arial" w:eastAsia="Times New Roman" w:hAnsi="Arial" w:cs="Arial"/>
          <w:sz w:val="24"/>
          <w:szCs w:val="24"/>
          <w:lang w:val="en-US" w:eastAsia="fr-FR"/>
        </w:rPr>
        <w:t>are common to</w:t>
      </w:r>
      <w:r w:rsidR="00291B07" w:rsidRPr="00883FC0">
        <w:rPr>
          <w:rFonts w:ascii="Arial" w:eastAsia="Times New Roman" w:hAnsi="Arial" w:cs="Arial"/>
          <w:sz w:val="24"/>
          <w:szCs w:val="24"/>
          <w:lang w:val="en-US" w:eastAsia="fr-FR"/>
        </w:rPr>
        <w:t xml:space="preserve"> other</w:t>
      </w:r>
      <w:r w:rsidRPr="00883FC0">
        <w:rPr>
          <w:rFonts w:ascii="Arial" w:eastAsia="Times New Roman" w:hAnsi="Arial" w:cs="Arial"/>
          <w:sz w:val="24"/>
          <w:szCs w:val="24"/>
          <w:lang w:val="en-US" w:eastAsia="fr-FR"/>
        </w:rPr>
        <w:t xml:space="preserve"> ungulate species present in the study areas (Mediterranean mouflon, </w:t>
      </w:r>
      <w:r w:rsidRPr="00883FC0">
        <w:rPr>
          <w:rFonts w:ascii="Arial" w:eastAsia="Times New Roman" w:hAnsi="Arial" w:cs="Arial"/>
          <w:i/>
          <w:sz w:val="24"/>
          <w:szCs w:val="24"/>
          <w:lang w:val="en-US" w:eastAsia="fr-FR"/>
        </w:rPr>
        <w:t>Ovis gmelini musimon × Ovis sp</w:t>
      </w:r>
      <w:r w:rsidRPr="00883FC0">
        <w:rPr>
          <w:rFonts w:ascii="Arial" w:eastAsia="Times New Roman" w:hAnsi="Arial" w:cs="Arial"/>
          <w:sz w:val="24"/>
          <w:szCs w:val="24"/>
          <w:lang w:val="en-US" w:eastAsia="fr-FR"/>
        </w:rPr>
        <w:t xml:space="preserve">.; Northen chamois; domestic goat, </w:t>
      </w:r>
      <w:r w:rsidRPr="00883FC0">
        <w:rPr>
          <w:rFonts w:ascii="Arial" w:eastAsia="Times New Roman" w:hAnsi="Arial" w:cs="Arial"/>
          <w:i/>
          <w:sz w:val="24"/>
          <w:szCs w:val="24"/>
          <w:lang w:val="en-US" w:eastAsia="fr-FR"/>
        </w:rPr>
        <w:t xml:space="preserve">Capra </w:t>
      </w:r>
      <w:proofErr w:type="spellStart"/>
      <w:r w:rsidRPr="00883FC0">
        <w:rPr>
          <w:rFonts w:ascii="Arial" w:eastAsia="Times New Roman" w:hAnsi="Arial" w:cs="Arial"/>
          <w:i/>
          <w:sz w:val="24"/>
          <w:szCs w:val="24"/>
          <w:lang w:val="en-US" w:eastAsia="fr-FR"/>
        </w:rPr>
        <w:t>hircus</w:t>
      </w:r>
      <w:proofErr w:type="spellEnd"/>
      <w:r w:rsidRPr="00883FC0">
        <w:rPr>
          <w:rFonts w:ascii="Arial" w:eastAsia="Times New Roman" w:hAnsi="Arial" w:cs="Arial"/>
          <w:sz w:val="24"/>
          <w:szCs w:val="24"/>
          <w:lang w:val="en-US" w:eastAsia="fr-FR"/>
        </w:rPr>
        <w:t>; red deer</w:t>
      </w:r>
      <w:r w:rsidRPr="00883FC0">
        <w:rPr>
          <w:rFonts w:ascii="Arial" w:eastAsia="Times New Roman" w:hAnsi="Arial" w:cs="Arial"/>
          <w:i/>
          <w:sz w:val="24"/>
          <w:szCs w:val="24"/>
          <w:lang w:val="en-US" w:eastAsia="fr-FR"/>
        </w:rPr>
        <w:t>, Cervus elaphus</w:t>
      </w:r>
      <w:r w:rsidRPr="00883FC0">
        <w:rPr>
          <w:rFonts w:ascii="Arial" w:eastAsia="Times New Roman" w:hAnsi="Arial" w:cs="Arial"/>
          <w:sz w:val="24"/>
          <w:szCs w:val="24"/>
          <w:lang w:val="en-US" w:eastAsia="fr-FR"/>
        </w:rPr>
        <w:t xml:space="preserve">; and roe deer, </w:t>
      </w:r>
      <w:r w:rsidRPr="00883FC0">
        <w:rPr>
          <w:rFonts w:ascii="Arial" w:eastAsia="Times New Roman" w:hAnsi="Arial" w:cs="Arial"/>
          <w:i/>
          <w:sz w:val="24"/>
          <w:szCs w:val="24"/>
          <w:lang w:val="en-US" w:eastAsia="fr-FR"/>
        </w:rPr>
        <w:t>Capreolus capreolus</w:t>
      </w:r>
      <w:r w:rsidRPr="00883FC0">
        <w:rPr>
          <w:rFonts w:ascii="Arial" w:eastAsia="Times New Roman" w:hAnsi="Arial" w:cs="Arial"/>
          <w:sz w:val="24"/>
          <w:szCs w:val="24"/>
          <w:lang w:val="en-US" w:eastAsia="fr-FR"/>
        </w:rPr>
        <w:t xml:space="preserve">) </w:t>
      </w:r>
      <w:r w:rsidRPr="00883FC0">
        <w:rPr>
          <w:rFonts w:ascii="Arial" w:eastAsia="Times New Roman" w:hAnsi="Arial" w:cs="Arial"/>
          <w:sz w:val="24"/>
          <w:szCs w:val="24"/>
          <w:lang w:val="en-US" w:eastAsia="fr-FR"/>
        </w:rPr>
        <w:fldChar w:fldCharType="begin"/>
      </w:r>
      <w:r w:rsidRPr="00883FC0">
        <w:rPr>
          <w:rFonts w:ascii="Arial" w:eastAsia="Times New Roman" w:hAnsi="Arial" w:cs="Arial"/>
          <w:sz w:val="24"/>
          <w:szCs w:val="24"/>
          <w:lang w:val="en-US" w:eastAsia="fr-FR"/>
        </w:rPr>
        <w:instrText xml:space="preserve"> ADDIN ZOTERO_ITEM CSL_CITATION {"citationID":"XQ4xnNJi","properties":{"formattedCitation":"(Zaffaroni et al., 2000)","plainCitation":"(Zaffaroni et al., 2000)","noteIndex":0},"citationItems":[{"id":612,"uris":["http://zotero.org/users/local/NciqjDvn/items/7B7UYZCJ"],"itemData":{"id":612,"type":"article-journal","abstract":"Abomasums from 641 alpine wild ruminants representing five different species (Cervus elaphus, Capreolus capreolus, Rupicapra rupicapra, Capra ibex, Ovis musimon) and from 19 domestic sheep (Ovis aries) from alpine areas were examined in order to investigate the host-specificity of abomasal helminths. Nine out of 20 helminth species were found in at least five different host species. A discriminant analysis was able to significantly discriminate the hosts on the basis of their helminth community composition with the exception of O. musimon and O. aries. Based on the correlation between each variable represented by helminth species with the most explanatory discriminant axis, it was possible to classify helminths into specialists and generalists. Specialists are represented by the dominant species in a community of an host species or family while generalists appear in the communities of many different hosts as intermediate species. Due to the pathogenic potential of some of these generalist species (i.e. Haemonchus contortus, Trichostrongylus axei) and their ability to adapt easily to the conditions found in several different hosts, they appear to be the most important from a sanitary point of view.","container-title":"Veterinary Parasitology","DOI":"10.1016/S0304-4017(00)00240-5","ISSN":"0304-4017","issue":"3","journalAbbreviation":"Vet. Parasitol","language":"en","page":"221-230","source":"ScienceDirect","title":"Host specificity of abomasal nematodes in free ranging alpine ruminants","volume":"90","author":[{"family":"Zaffaroni","given":"Enrico"},{"family":"Teresa Manfredi","given":"Maria"},{"family":"Citterio","given":"Carlo"},{"family":"Sala","given":"Marcello"},{"family":"Piccolo","given":"Giuliana"},{"family":"Lanfranchi","given":"Paolo"}],"issued":{"date-parts":[["2000",6,27]]}}}],"schema":"https://github.com/citation-style-language/schema/raw/master/csl-citation.json"} </w:instrText>
      </w:r>
      <w:r w:rsidRPr="00883FC0">
        <w:rPr>
          <w:rFonts w:ascii="Arial" w:eastAsia="Times New Roman" w:hAnsi="Arial" w:cs="Arial"/>
          <w:sz w:val="24"/>
          <w:szCs w:val="24"/>
          <w:lang w:val="en-US" w:eastAsia="fr-FR"/>
        </w:rPr>
        <w:fldChar w:fldCharType="separate"/>
      </w:r>
      <w:r w:rsidRPr="00883FC0">
        <w:rPr>
          <w:rFonts w:ascii="Arial" w:hAnsi="Arial" w:cs="Arial"/>
          <w:sz w:val="24"/>
          <w:szCs w:val="24"/>
          <w:lang w:val="en-US"/>
        </w:rPr>
        <w:t>(Zaffaroni et al., 2000)</w:t>
      </w:r>
      <w:r w:rsidRPr="00883FC0">
        <w:rPr>
          <w:rFonts w:ascii="Arial" w:eastAsia="Times New Roman" w:hAnsi="Arial" w:cs="Arial"/>
          <w:sz w:val="24"/>
          <w:szCs w:val="24"/>
          <w:lang w:val="en-US" w:eastAsia="fr-FR"/>
        </w:rPr>
        <w:fldChar w:fldCharType="end"/>
      </w:r>
      <w:r w:rsidRPr="00883FC0">
        <w:rPr>
          <w:rFonts w:ascii="Arial" w:eastAsia="Times New Roman" w:hAnsi="Arial" w:cs="Arial"/>
          <w:sz w:val="24"/>
          <w:szCs w:val="24"/>
          <w:lang w:val="en-US" w:eastAsia="fr-FR"/>
        </w:rPr>
        <w:t xml:space="preserve">. In our study, only a few domestic goats </w:t>
      </w:r>
      <w:r w:rsidR="00291B07" w:rsidRPr="00883FC0">
        <w:rPr>
          <w:rFonts w:ascii="Arial" w:eastAsia="Times New Roman" w:hAnsi="Arial" w:cs="Arial"/>
          <w:sz w:val="24"/>
          <w:szCs w:val="24"/>
          <w:lang w:val="en-US" w:eastAsia="fr-FR"/>
        </w:rPr>
        <w:t>were</w:t>
      </w:r>
      <w:r w:rsidRPr="00883FC0">
        <w:rPr>
          <w:rFonts w:ascii="Arial" w:eastAsia="Times New Roman" w:hAnsi="Arial" w:cs="Arial"/>
          <w:sz w:val="24"/>
          <w:szCs w:val="24"/>
          <w:lang w:val="en-US" w:eastAsia="fr-FR"/>
        </w:rPr>
        <w:t xml:space="preserve"> present in Belledonne (n = 11 individuals) and in Champsaur (n =5 individuals) and represent</w:t>
      </w:r>
      <w:r w:rsidR="00291B07" w:rsidRPr="00883FC0">
        <w:rPr>
          <w:rFonts w:ascii="Arial" w:eastAsia="Times New Roman" w:hAnsi="Arial" w:cs="Arial"/>
          <w:sz w:val="24"/>
          <w:szCs w:val="24"/>
          <w:lang w:val="en-US" w:eastAsia="fr-FR"/>
        </w:rPr>
        <w:t>ed</w:t>
      </w:r>
      <w:r w:rsidRPr="00883FC0">
        <w:rPr>
          <w:rFonts w:ascii="Arial" w:eastAsia="Times New Roman" w:hAnsi="Arial" w:cs="Arial"/>
          <w:sz w:val="24"/>
          <w:szCs w:val="24"/>
          <w:lang w:val="en-US" w:eastAsia="fr-FR"/>
        </w:rPr>
        <w:t xml:space="preserve"> less than 0.01% of the domestic flock in the</w:t>
      </w:r>
      <w:r w:rsidR="00291B07" w:rsidRPr="00883FC0">
        <w:rPr>
          <w:rFonts w:ascii="Arial" w:eastAsia="Times New Roman" w:hAnsi="Arial" w:cs="Arial"/>
          <w:sz w:val="24"/>
          <w:szCs w:val="24"/>
          <w:lang w:val="en-US" w:eastAsia="fr-FR"/>
        </w:rPr>
        <w:t>se</w:t>
      </w:r>
      <w:r w:rsidRPr="00883FC0">
        <w:rPr>
          <w:rFonts w:ascii="Arial" w:eastAsia="Times New Roman" w:hAnsi="Arial" w:cs="Arial"/>
          <w:sz w:val="24"/>
          <w:szCs w:val="24"/>
          <w:lang w:val="en-US" w:eastAsia="fr-FR"/>
        </w:rPr>
        <w:t xml:space="preserve"> area</w:t>
      </w:r>
      <w:r w:rsidR="00291B07" w:rsidRPr="00883FC0">
        <w:rPr>
          <w:rFonts w:ascii="Arial" w:eastAsia="Times New Roman" w:hAnsi="Arial" w:cs="Arial"/>
          <w:sz w:val="24"/>
          <w:szCs w:val="24"/>
          <w:lang w:val="en-US" w:eastAsia="fr-FR"/>
        </w:rPr>
        <w:t>s</w:t>
      </w:r>
      <w:r w:rsidRPr="00883FC0">
        <w:rPr>
          <w:rFonts w:ascii="Arial" w:eastAsia="Times New Roman" w:hAnsi="Arial" w:cs="Arial"/>
          <w:sz w:val="24"/>
          <w:szCs w:val="24"/>
          <w:lang w:val="en-US" w:eastAsia="fr-FR"/>
        </w:rPr>
        <w:t xml:space="preserve">. As we collected feces directly on the ground, we cannot exclude that goat feces </w:t>
      </w:r>
      <w:r w:rsidR="00291B07" w:rsidRPr="00883FC0">
        <w:rPr>
          <w:rFonts w:ascii="Arial" w:eastAsia="Times New Roman" w:hAnsi="Arial" w:cs="Arial"/>
          <w:sz w:val="24"/>
          <w:szCs w:val="24"/>
          <w:lang w:val="en-US" w:eastAsia="fr-FR"/>
        </w:rPr>
        <w:t>were</w:t>
      </w:r>
      <w:r w:rsidRPr="00883FC0">
        <w:rPr>
          <w:rFonts w:ascii="Arial" w:eastAsia="Times New Roman" w:hAnsi="Arial" w:cs="Arial"/>
          <w:sz w:val="24"/>
          <w:szCs w:val="24"/>
          <w:lang w:val="en-US" w:eastAsia="fr-FR"/>
        </w:rPr>
        <w:t xml:space="preserve"> collected instead of sheep feces. In our opinion, domestic goats should not have a significative influence on nemabiome of ibex in our study area considering the scarcity of the species. In fu</w:t>
      </w:r>
      <w:r w:rsidR="00291B07" w:rsidRPr="00883FC0">
        <w:rPr>
          <w:rFonts w:ascii="Arial" w:eastAsia="Times New Roman" w:hAnsi="Arial" w:cs="Arial"/>
          <w:sz w:val="24"/>
          <w:szCs w:val="24"/>
          <w:lang w:val="en-US" w:eastAsia="fr-FR"/>
        </w:rPr>
        <w:t>ture</w:t>
      </w:r>
      <w:r w:rsidRPr="00883FC0">
        <w:rPr>
          <w:rFonts w:ascii="Arial" w:eastAsia="Times New Roman" w:hAnsi="Arial" w:cs="Arial"/>
          <w:sz w:val="24"/>
          <w:szCs w:val="24"/>
          <w:lang w:val="en-US" w:eastAsia="fr-FR"/>
        </w:rPr>
        <w:t xml:space="preserve"> analyses, we should consider the different domestic and wild ungulate species l</w:t>
      </w:r>
      <w:r w:rsidR="00972C2A" w:rsidRPr="00883FC0">
        <w:rPr>
          <w:rFonts w:ascii="Arial" w:eastAsia="Times New Roman" w:hAnsi="Arial" w:cs="Arial"/>
          <w:sz w:val="24"/>
          <w:szCs w:val="24"/>
          <w:lang w:val="en-US" w:eastAsia="fr-FR"/>
        </w:rPr>
        <w:t>i</w:t>
      </w:r>
      <w:r w:rsidRPr="00883FC0">
        <w:rPr>
          <w:rFonts w:ascii="Arial" w:eastAsia="Times New Roman" w:hAnsi="Arial" w:cs="Arial"/>
          <w:sz w:val="24"/>
          <w:szCs w:val="24"/>
          <w:lang w:val="en-US" w:eastAsia="fr-FR"/>
        </w:rPr>
        <w:t>ving in the same study area. Especially because they have different space use, different nemabiome</w:t>
      </w:r>
      <w:r w:rsidR="00972C2A" w:rsidRPr="00883FC0">
        <w:rPr>
          <w:rFonts w:ascii="Arial" w:eastAsia="Times New Roman" w:hAnsi="Arial" w:cs="Arial"/>
          <w:sz w:val="24"/>
          <w:szCs w:val="24"/>
          <w:lang w:val="en-US" w:eastAsia="fr-FR"/>
        </w:rPr>
        <w:t>s</w:t>
      </w:r>
      <w:r w:rsidRPr="00883FC0">
        <w:rPr>
          <w:rFonts w:ascii="Arial" w:eastAsia="Times New Roman" w:hAnsi="Arial" w:cs="Arial"/>
          <w:sz w:val="24"/>
          <w:szCs w:val="24"/>
          <w:lang w:val="en-US" w:eastAsia="fr-FR"/>
        </w:rPr>
        <w:t xml:space="preserve"> and </w:t>
      </w:r>
      <w:r w:rsidR="00972C2A" w:rsidRPr="00883FC0">
        <w:rPr>
          <w:rFonts w:ascii="Arial" w:eastAsia="Times New Roman" w:hAnsi="Arial" w:cs="Arial"/>
          <w:sz w:val="24"/>
          <w:szCs w:val="24"/>
          <w:lang w:val="en-US" w:eastAsia="fr-FR"/>
        </w:rPr>
        <w:t>c</w:t>
      </w:r>
      <w:r w:rsidRPr="00883FC0">
        <w:rPr>
          <w:rFonts w:ascii="Arial" w:eastAsia="Times New Roman" w:hAnsi="Arial" w:cs="Arial"/>
          <w:sz w:val="24"/>
          <w:szCs w:val="24"/>
          <w:lang w:val="en-US" w:eastAsia="fr-FR"/>
        </w:rPr>
        <w:t>ould provide key information to better understand the dynamic of nematode exchanges among domestic and wild ungulates</w:t>
      </w:r>
      <w:bookmarkEnd w:id="45"/>
      <w:r w:rsidRPr="00883FC0">
        <w:rPr>
          <w:rFonts w:ascii="Arial" w:eastAsia="Times New Roman" w:hAnsi="Arial" w:cs="Arial"/>
          <w:sz w:val="24"/>
          <w:szCs w:val="24"/>
          <w:lang w:val="en-US" w:eastAsia="fr-FR"/>
        </w:rPr>
        <w:t xml:space="preserve">. </w:t>
      </w:r>
    </w:p>
    <w:p w14:paraId="4D9053A4" w14:textId="301DD28D" w:rsidR="00FE5027" w:rsidRPr="00883FC0" w:rsidRDefault="00CF2B74" w:rsidP="00A0712B">
      <w:pPr>
        <w:spacing w:after="0" w:line="360" w:lineRule="auto"/>
        <w:ind w:firstLine="360"/>
        <w:jc w:val="both"/>
        <w:rPr>
          <w:rFonts w:ascii="Arial" w:eastAsia="Times New Roman" w:hAnsi="Arial" w:cs="Arial"/>
          <w:sz w:val="24"/>
          <w:szCs w:val="24"/>
          <w:lang w:val="en-US" w:eastAsia="fr-FR"/>
        </w:rPr>
      </w:pPr>
      <w:bookmarkStart w:id="46" w:name="_Hlk160381503"/>
      <w:r w:rsidRPr="00883FC0">
        <w:rPr>
          <w:rFonts w:ascii="Arial" w:eastAsia="Times New Roman" w:hAnsi="Arial" w:cs="Arial"/>
          <w:sz w:val="24"/>
          <w:szCs w:val="24"/>
          <w:lang w:val="en-US" w:eastAsia="fr-FR"/>
        </w:rPr>
        <w:t>W</w:t>
      </w:r>
      <w:r w:rsidR="00FE5027" w:rsidRPr="00883FC0">
        <w:rPr>
          <w:rFonts w:ascii="Arial" w:eastAsia="Times New Roman" w:hAnsi="Arial" w:cs="Arial"/>
          <w:sz w:val="24"/>
          <w:szCs w:val="24"/>
          <w:lang w:val="en-US" w:eastAsia="fr-FR"/>
        </w:rPr>
        <w:t>e found</w:t>
      </w:r>
      <w:r w:rsidR="00972C2A" w:rsidRPr="00883FC0">
        <w:rPr>
          <w:rFonts w:ascii="Arial" w:eastAsia="Times New Roman" w:hAnsi="Arial" w:cs="Arial"/>
          <w:sz w:val="24"/>
          <w:szCs w:val="24"/>
          <w:lang w:val="en-US" w:eastAsia="fr-FR"/>
        </w:rPr>
        <w:t xml:space="preserve"> a</w:t>
      </w:r>
      <w:r w:rsidR="00FE5027" w:rsidRPr="00883FC0">
        <w:rPr>
          <w:rFonts w:ascii="Arial" w:eastAsia="Times New Roman" w:hAnsi="Arial" w:cs="Arial"/>
          <w:sz w:val="24"/>
          <w:szCs w:val="24"/>
          <w:lang w:val="en-US" w:eastAsia="fr-FR"/>
        </w:rPr>
        <w:t xml:space="preserve"> higher diversity of nematodes in adult males compared to females and kids/yearlings. </w:t>
      </w:r>
      <w:r w:rsidRPr="00883FC0">
        <w:rPr>
          <w:rFonts w:ascii="Arial" w:eastAsia="Times New Roman" w:hAnsi="Arial" w:cs="Arial"/>
          <w:sz w:val="24"/>
          <w:szCs w:val="24"/>
          <w:lang w:val="en-US" w:eastAsia="fr-FR"/>
        </w:rPr>
        <w:t>Sexual parasitism towards males is commonly observed in vertebrates and ungulates in particular</w:t>
      </w:r>
      <w:r w:rsidR="00F02A99" w:rsidRPr="00883FC0">
        <w:rPr>
          <w:rFonts w:ascii="Arial" w:eastAsia="Times New Roman" w:hAnsi="Arial" w:cs="Arial"/>
          <w:sz w:val="24"/>
          <w:szCs w:val="24"/>
          <w:lang w:val="en-US" w:eastAsia="fr-FR"/>
        </w:rPr>
        <w:t xml:space="preserve"> </w:t>
      </w:r>
      <w:r w:rsidR="00F02A99" w:rsidRPr="00883FC0">
        <w:rPr>
          <w:rFonts w:ascii="Arial" w:eastAsia="Times New Roman" w:hAnsi="Arial" w:cs="Arial"/>
          <w:sz w:val="24"/>
          <w:szCs w:val="24"/>
          <w:lang w:val="en-US" w:eastAsia="fr-FR"/>
        </w:rPr>
        <w:fldChar w:fldCharType="begin"/>
      </w:r>
      <w:r w:rsidR="00074D2E" w:rsidRPr="00883FC0">
        <w:rPr>
          <w:rFonts w:ascii="Arial" w:eastAsia="Times New Roman" w:hAnsi="Arial" w:cs="Arial"/>
          <w:sz w:val="24"/>
          <w:szCs w:val="24"/>
          <w:lang w:val="en-US" w:eastAsia="fr-FR"/>
        </w:rPr>
        <w:instrText xml:space="preserve"> ADDIN ZOTERO_ITEM CSL_CITATION {"citationID":"jhsJvDdz","properties":{"formattedCitation":"(Klein, 2000; Mart\\uc0\\u237{}nez-Guijosa et al., 2015; Oliver-Guimer\\uc0\\u225{} et al., 2017)","plainCitation":"(Klein, 2000; Martínez-Guijosa et al., 2015; Oliver-Guimerá et al., 2017)","dontUpdate":true,"noteIndex":0},"citationItems":[{"id":1317,"uris":["http://zotero.org/users/local/NciqjDvn/items/CGIPIFWN"],"itemData":{"id":1317,"type":"article-journal","abstract":"Males of many species are more susceptible than females to infections caused by parasites, fungi, bacteria, and viruses. One proximate cause of sex differences in infection is differences in endocrine–immune interactions. Specifically, males may be more susceptible to infection than females because sex steroids, specifically androgens in males and estrogens in females, modulate several aspects of host immunity. It is, however, becoming increasingly more apparent that in addition to affecting host immunity, sex steroid hormones alter genes and behaviors that influence susceptibility and resistance to infection. Thus, males may be more susceptible to infection than females not only because androgens reduce immunocompetence, but because sex steroid hormones affect disease resistance genes and behaviors that make males more susceptible to infection. Consideration of the cumulative effects of sex steroid hormones on susceptibility to infection may serve to clarify current discrepancies in the literature and offer alternative hypotheses to the view that sex steroid hormones only alter susceptibility to infection via changes in host immune function.","container-title":"Neuroscience &amp; Biobehavioral Reviews","DOI":"10.1016/S0149-7634(00)00027-0","ISSN":"0149-7634","issue":"6","journalAbbreviation":"Neurosci Biobehav Rev","language":"en","page":"627-638","source":"ScienceDirect","title":"The effects of hormones on sex differences in infection: from genes to behavior","title-short":"The effects of hormones on sex differences in infection","volume":"24","author":[{"family":"Klein","given":"S. L."}],"issued":{"date-parts":[["2000",8,1]]}}},{"id":1469,"uris":["http://zotero.org/users/local/NciqjDvn/items/A5JMTT7K"],"itemData":{"id":1469,"type":"article-journal","abstract":"Pyrenean chamois (Rupicapra pyrenaica pyrenaica) is a nearly monomorphic mountain ungulate with an unbiased sex-specific overwinter adult survival. Few differences in gastrointestinal parasitism have been reported by coprology as yet. This study aims to assess diversity, prevalence, intensity of infection and aggregation of gastrointestinal nematodes in male and female adult chamois. We expect no differences in the parasite infection rates between sexes.","container-title":"Parasites &amp; Vectors","DOI":"10.1186/s13071-015-0774-9","ISSN":"1756-3305","issue":"1","journalAbbreviation":"Parasites &amp; Vectors","page":"165","source":"BioMed Central","title":"Male-biased gastrointestinal parasitism in a nearly monomorphic mountain ungulate","volume":"8","author":[{"family":"Martínez-Guijosa","given":"Jordi"},{"family":"Martínez-Carrasco","given":"Carlos"},{"family":"López-Olvera","given":"Jorge Ramón"},{"family":"Fernández-Aguilar","given":"Xavier"},{"family":"Colom-Cadena","given":"Andreu"},{"family":"Cabezón","given":"Oscar"},{"family":"Mentaberre","given":"Gregorio"},{"family":"Ferrer","given":"David"},{"family":"Velarde","given":"Roser"},{"family":"Gassó","given":"Diana"},{"family":"Garel","given":"Mathieu"},{"family":"Rossi","given":"Luca"},{"family":"Lavín","given":"Santiago"},{"family":"Serrano","given":"Emmanuel"}],"issued":{"date-parts":[["2015",3,18]]}}},{"id":2155,"uris":["http://zotero.org/users/local/NciqjDvn/items/P5PVDZKY"],"itemData":{"id":2155,"type":"article-journal","abstract":"Even though male-biased parasitism is common in mammals, little effort has been made to evaluate whether higher parasitic burden in males results</w:instrText>
      </w:r>
      <w:r w:rsidR="00074D2E" w:rsidRPr="00883FC0">
        <w:rPr>
          <w:rFonts w:ascii="Arial" w:eastAsia="Times New Roman" w:hAnsi="Arial" w:cs="Arial"/>
          <w:sz w:val="24"/>
          <w:szCs w:val="24"/>
          <w:lang w:eastAsia="fr-FR"/>
        </w:rPr>
        <w:instrText xml:space="preserve"> in an extra biological cost, and thus a decrease in fitness. Body condition impairment and the augmentation of oxidative stress can be used as indicators of the cost of parasite infections. Here, we examined relationships between gastrointestinal and respiratory helminths, body condition and oxidative stress markers (glutathione peroxidase, paraoxonase-1) in 28 Pyrenean chamois (Rupicapra p. pyrenaica) sampled in autumn.","container-title":"Parasites &amp; Vectors","DOI":"10.1186/s13071-017-2060-5","ISSN":"1756-3305","issue":"1","journalAbbreviation":"Parasites Vectors","page":"200","source":"BioMed Central","title":"The physiological cost of male-biased parasitism in a nearly monomorphic mammal","volume":"10","author":[{"family":"Oliver-Guimerá","given":"Arturo"},{"family":"Martínez-Carrasco","given":"Carlos"},{"family":"Tvarijonaviciute","given":"Asta"},{"family":"Ruiz de Ybáñez","given":"María Rocío"},{"family":"Martínez-Guijosa","given":"Jordi"},{"family":"López-Olvera","given":"Jorge Ramón"},{"family":"Fernández-Aguilar","given":"Xavier"},{"family":"Colom-Cadena","given":"Andreu"},{"family":"Mentaberre","given":"Gregorio"},{"family":"Velarde","given":"Roser"},{"family":"Gassó","given":"Diana"},{"family":"Garel","given":"Mathieu"},{"family":"Rossi","given":"Luca"},{"family":"Lavín","given":"Santiago"},{"family":"Serrano","given":"Emmanuel"}],"issued":{"date-parts":[["2017",4,21]]}}}],"schema":"https://github.com/citation-style-language/schema/raw/master/csl-citation.json"} </w:instrText>
      </w:r>
      <w:r w:rsidR="00F02A99" w:rsidRPr="00883FC0">
        <w:rPr>
          <w:rFonts w:ascii="Arial" w:eastAsia="Times New Roman" w:hAnsi="Arial" w:cs="Arial"/>
          <w:sz w:val="24"/>
          <w:szCs w:val="24"/>
          <w:lang w:val="en-US" w:eastAsia="fr-FR"/>
        </w:rPr>
        <w:fldChar w:fldCharType="separate"/>
      </w:r>
      <w:r w:rsidR="00F02A99" w:rsidRPr="00883FC0">
        <w:rPr>
          <w:rFonts w:ascii="Arial" w:hAnsi="Arial" w:cs="Arial"/>
          <w:sz w:val="24"/>
          <w:szCs w:val="24"/>
        </w:rPr>
        <w:t>(Klein, 2000; Martínez-Guijosa et al., 2015; Oliver-Guimerá et al., 2017</w:t>
      </w:r>
      <w:r w:rsidR="00074D2E" w:rsidRPr="00883FC0">
        <w:rPr>
          <w:rFonts w:ascii="Arial" w:hAnsi="Arial" w:cs="Arial"/>
          <w:sz w:val="24"/>
          <w:szCs w:val="24"/>
        </w:rPr>
        <w:t>,</w:t>
      </w:r>
      <w:r w:rsidR="00F02A99" w:rsidRPr="00883FC0">
        <w:rPr>
          <w:rFonts w:ascii="Arial" w:eastAsia="Times New Roman" w:hAnsi="Arial" w:cs="Arial"/>
          <w:sz w:val="24"/>
          <w:szCs w:val="24"/>
          <w:lang w:val="en-US" w:eastAsia="fr-FR"/>
        </w:rPr>
        <w:fldChar w:fldCharType="end"/>
      </w:r>
      <w:r w:rsidR="00F02A99" w:rsidRPr="00883FC0">
        <w:rPr>
          <w:rFonts w:ascii="Arial" w:eastAsia="Times New Roman" w:hAnsi="Arial" w:cs="Arial"/>
          <w:sz w:val="24"/>
          <w:szCs w:val="24"/>
          <w:lang w:eastAsia="fr-FR"/>
        </w:rPr>
        <w:t xml:space="preserve"> but </w:t>
      </w:r>
      <w:proofErr w:type="spellStart"/>
      <w:r w:rsidR="00F02A99" w:rsidRPr="00883FC0">
        <w:rPr>
          <w:rFonts w:ascii="Arial" w:eastAsia="Times New Roman" w:hAnsi="Arial" w:cs="Arial"/>
          <w:sz w:val="24"/>
          <w:szCs w:val="24"/>
          <w:lang w:eastAsia="fr-FR"/>
        </w:rPr>
        <w:t>see</w:t>
      </w:r>
      <w:proofErr w:type="spellEnd"/>
      <w:r w:rsidR="00F02A99" w:rsidRPr="00883FC0">
        <w:rPr>
          <w:rFonts w:ascii="Arial" w:eastAsia="Times New Roman" w:hAnsi="Arial" w:cs="Arial"/>
          <w:sz w:val="24"/>
          <w:szCs w:val="24"/>
          <w:lang w:eastAsia="fr-FR"/>
        </w:rPr>
        <w:t xml:space="preserve"> </w:t>
      </w:r>
      <w:r w:rsidR="00F02A99" w:rsidRPr="00883FC0">
        <w:rPr>
          <w:rFonts w:ascii="Arial" w:eastAsia="Times New Roman" w:hAnsi="Arial" w:cs="Arial"/>
          <w:sz w:val="24"/>
          <w:szCs w:val="24"/>
          <w:lang w:eastAsia="fr-FR"/>
        </w:rPr>
        <w:fldChar w:fldCharType="begin"/>
      </w:r>
      <w:r w:rsidR="00074D2E" w:rsidRPr="00883FC0">
        <w:rPr>
          <w:rFonts w:ascii="Arial" w:eastAsia="Times New Roman" w:hAnsi="Arial" w:cs="Arial"/>
          <w:sz w:val="24"/>
          <w:szCs w:val="24"/>
          <w:lang w:eastAsia="fr-FR"/>
        </w:rPr>
        <w:instrText xml:space="preserve"> ADDIN ZOTERO_ITEM CSL_CITATION {"citationID":"DafIXHQk","properties":{"formattedCitation":"(Beaumelle et al., 2021; Bourgoin et al., 2021)","plainCitation":"(Beaumelle et al., 2021; Bourgoin et al., 2021)","dontUpdate":true,"noteIndex":0},"citationItems":[{"id":2415,"uris":["http://zotero.org/users/local/NciqjDvn/items/LKQL2ARY"],"itemData":{"id":2415,"type":"article-journal","abstract":"Gastrointestinal nematodes are ubiquitous for both domestic and wild ungulates and have varying consequences for health and fitness. They exist as complex communities of multiple co-infecting species, and we have a limited understanding of how these communities vary in different hosts, regions and circumstances or of how this affects their impacts.","container-title":"Parasites &amp; Vectors","DOI":"10.1186/s13071-021-05087-5","ISSN":"1756-3305","issue":"1","journalAbbreviation":"Parasites &amp; Vectors","page":"594","source":"BioMed Central","title":"Metabarcoding in two isolated populations of wild roe deer (&lt;i&gt;Capreolus capreolus&lt;/i&gt;) reveals variation in gastrointestinal nematode community composition between regions and among age classes","volume":"14","author":[{"family":"Beaumelle","given":"Camille"},{"family":"Redman","given":"Elizabeth M."},{"family":"Rijke","given":"Jill","non-dropping-particle":"de"},{"family":"Wit","given":"Janneke"},{"family":"Benabed","given":"Slimania"},{"family":"Debias","given":"François"},{"family":"Duhayer","given":"Jeanne"},{"family":"Pardonnet","given":"Sylvia"},{"family":"Poirel","given":"Marie-Thérèse"},{"family":"Capron","given":"Gilles"},{"family":"Chabot","given":"Stéphane"},{"family":"Rey","given":"Benjamin"},{"family":"Yannic","given":"Glenn"},{"family":"Gilleard","given":"John S."},{"family":"Bourgoin","given":"Gilles"}],"issued":{"date-parts":[["2021",12,4]]}}},{"id":2091,"uris":["http://zotero.org/users/local/NciqjDvn/items/9GLSLZL2"],"itemData":{"id":2091,"type":"article-journal","abstract":", \nSeveral individual, environmental and parasitic factors can influence the impacts of parasites on host's fitness and on host's ability to transmit these parasites to new hosts. Identifying these factors and the individuals who play a greater role in parasite transmission is of main concern for the development of parasite control strategies. In the present study, we aimed to describe the diversity of gastrointestinal parasites and to identify the individual factors influencing the faecal spreading of parasites in a free-ranging population of Mediterranean mouflon. From the analysis of 433 faecal samples, we found Eimeria spp. and gastrointestinal strongyles (GIS) were the most common parasites (&gt;94%). The f</w:instrText>
      </w:r>
      <w:r w:rsidR="00074D2E" w:rsidRPr="00883FC0">
        <w:rPr>
          <w:rFonts w:ascii="Arial" w:eastAsia="Times New Roman" w:hAnsi="Arial" w:cs="Arial"/>
          <w:sz w:val="24"/>
          <w:szCs w:val="24"/>
          <w:lang w:val="en-US" w:eastAsia="fr-FR"/>
        </w:rPr>
        <w:instrText xml:space="preserve">aecal oocyst counts of Eimeria spp. were the highest during the first years of life. It was 1.6 times higher in females than in males and 2.5 times higher in individuals in poor than in good body condition. Similarly, the faecal egg count of GIS was higher in females and decreased with age, but only in males. Finally, reproductive females had GIS faecal egg count values 2.6 times higher than non-reproductive females. Management strategies of parasites should thus primarily focus on reproductive females and young individuals in poor body condition as they represent the main contamination source of the environment.","container-title":"Parasitology","DOI":"10.1017/S0031182021000329","ISSN":"0031-1820, 1469-8161","issue":"7","language":"fr","page":"809-818","source":"Cambridge University Press","title":"Reproductive females and young mouflon (&lt;i&gt;Ovis gmelini musimon&lt;/i&gt; × &lt;i&gt;Ovis&lt;/i&gt; sp.) in poor body condition are the main spreaders of gastrointestinal parasites","volume":"148","author":[{"family":"Bourgoin","given":"Gilles"},{"family":"Portanier","given":"Elodie"},{"family":"Poirel","given":"Marie-Thérèse"},{"family":"Itty","given":"Christian"},{"family":"Duhayer","given":"Jeanne"},{"family":"Benabed","given":"Slimania"},{"family":"Cockenpot","given":"Anne"},{"family":"Callait-Cardinal","given":"Marie-Pierre"},{"family":"Garel","given":"Mathieu"}],"issued":{"date-parts":[["2021",6]]}}}],"schema":"https://github.com/citation-style-language/schema/raw/master/csl-citation.json"} </w:instrText>
      </w:r>
      <w:r w:rsidR="00F02A99" w:rsidRPr="00883FC0">
        <w:rPr>
          <w:rFonts w:ascii="Arial" w:eastAsia="Times New Roman" w:hAnsi="Arial" w:cs="Arial"/>
          <w:sz w:val="24"/>
          <w:szCs w:val="24"/>
          <w:lang w:eastAsia="fr-FR"/>
        </w:rPr>
        <w:fldChar w:fldCharType="separate"/>
      </w:r>
      <w:r w:rsidR="00F02A99" w:rsidRPr="00883FC0">
        <w:rPr>
          <w:rFonts w:ascii="Arial" w:hAnsi="Arial" w:cs="Arial"/>
          <w:sz w:val="24"/>
          <w:lang w:val="en-US"/>
        </w:rPr>
        <w:t>Beaumelle et al., 2021; Bourgoin et al., 2021)</w:t>
      </w:r>
      <w:r w:rsidR="00F02A99" w:rsidRPr="00883FC0">
        <w:rPr>
          <w:rFonts w:ascii="Arial" w:eastAsia="Times New Roman" w:hAnsi="Arial" w:cs="Arial"/>
          <w:sz w:val="24"/>
          <w:szCs w:val="24"/>
          <w:lang w:eastAsia="fr-FR"/>
        </w:rPr>
        <w:fldChar w:fldCharType="end"/>
      </w:r>
      <w:r w:rsidRPr="00883FC0">
        <w:rPr>
          <w:rFonts w:ascii="Arial" w:eastAsia="Times New Roman" w:hAnsi="Arial" w:cs="Arial"/>
          <w:sz w:val="24"/>
          <w:szCs w:val="24"/>
          <w:lang w:val="en-US" w:eastAsia="fr-FR"/>
        </w:rPr>
        <w:t xml:space="preserve">. This parasitism towards males is generally explained by both hormonal and behavioral differences between the two sexes. Generally, males tend to allocate more energy to the development of traits influenced by testosterone, such as secondary sexual characteristics (e.g. the length of horns in </w:t>
      </w:r>
      <w:r w:rsidR="00A3130F" w:rsidRPr="00883FC0">
        <w:rPr>
          <w:rFonts w:ascii="Arial" w:eastAsia="Times New Roman" w:hAnsi="Arial" w:cs="Arial"/>
          <w:sz w:val="24"/>
          <w:szCs w:val="24"/>
          <w:lang w:val="en-US" w:eastAsia="fr-FR"/>
        </w:rPr>
        <w:t>ungulates</w:t>
      </w:r>
      <w:r w:rsidRPr="00883FC0">
        <w:rPr>
          <w:rFonts w:ascii="Arial" w:eastAsia="Times New Roman" w:hAnsi="Arial" w:cs="Arial"/>
          <w:sz w:val="24"/>
          <w:szCs w:val="24"/>
          <w:lang w:val="en-US" w:eastAsia="fr-FR"/>
        </w:rPr>
        <w:t xml:space="preserve">) or courtship displays (e.g. male aggression for mating opportunities). It is important to note that while testosterone is necessary for the development of these secondary sexual characteristics in males, high levels </w:t>
      </w:r>
      <w:r w:rsidRPr="002D0E01">
        <w:rPr>
          <w:rFonts w:ascii="Arial" w:eastAsia="Times New Roman" w:hAnsi="Arial" w:cs="Arial"/>
          <w:sz w:val="24"/>
          <w:szCs w:val="24"/>
          <w:highlight w:val="yellow"/>
          <w:lang w:val="en-US" w:eastAsia="fr-FR"/>
        </w:rPr>
        <w:t xml:space="preserve">of </w:t>
      </w:r>
      <w:r w:rsidR="00A3130F" w:rsidRPr="002D0E01">
        <w:rPr>
          <w:rFonts w:ascii="Arial" w:eastAsia="Times New Roman" w:hAnsi="Arial" w:cs="Arial"/>
          <w:sz w:val="24"/>
          <w:szCs w:val="24"/>
          <w:highlight w:val="yellow"/>
          <w:lang w:val="en-US" w:eastAsia="fr-FR"/>
        </w:rPr>
        <w:t>testosterone</w:t>
      </w:r>
      <w:r w:rsidRPr="00883FC0">
        <w:rPr>
          <w:rFonts w:ascii="Arial" w:eastAsia="Times New Roman" w:hAnsi="Arial" w:cs="Arial"/>
          <w:sz w:val="24"/>
          <w:szCs w:val="24"/>
          <w:lang w:val="en-US" w:eastAsia="fr-FR"/>
        </w:rPr>
        <w:t xml:space="preserve"> have also been linked to an altered immune system</w:t>
      </w:r>
      <w:r w:rsidR="00074D2E" w:rsidRPr="00883FC0">
        <w:rPr>
          <w:rFonts w:ascii="Arial" w:eastAsia="Times New Roman" w:hAnsi="Arial" w:cs="Arial"/>
          <w:sz w:val="24"/>
          <w:szCs w:val="24"/>
          <w:lang w:val="en-US" w:eastAsia="fr-FR"/>
        </w:rPr>
        <w:t xml:space="preserve"> </w:t>
      </w:r>
      <w:r w:rsidR="00074D2E" w:rsidRPr="00883FC0">
        <w:rPr>
          <w:rFonts w:ascii="Arial" w:eastAsia="Times New Roman" w:hAnsi="Arial" w:cs="Arial"/>
          <w:sz w:val="24"/>
          <w:szCs w:val="24"/>
          <w:lang w:val="en-US" w:eastAsia="fr-FR"/>
        </w:rPr>
        <w:fldChar w:fldCharType="begin"/>
      </w:r>
      <w:r w:rsidR="00074D2E" w:rsidRPr="00883FC0">
        <w:rPr>
          <w:rFonts w:ascii="Arial" w:eastAsia="Times New Roman" w:hAnsi="Arial" w:cs="Arial"/>
          <w:sz w:val="24"/>
          <w:szCs w:val="24"/>
          <w:lang w:val="en-US" w:eastAsia="fr-FR"/>
        </w:rPr>
        <w:instrText xml:space="preserve"> ADDIN ZOTERO_ITEM CSL_CITATION {"citationID":"W8w0nDP4","properties":{"formattedCitation":"(Klein, 2004)","plainCitation":"(Klein, 2004)","noteIndex":0},"citationItems":[{"id":1891,"uris":["http://zotero.org/users/local/NciqjDvn/items/Z6HJBBXQ"],"itemData":{"id":1891,"type":"article-journal","abstract":"The prevalence and intensity of infections caused by protozoa, nematodes, trematodes, cestodes, and arthropods is higher in males than females. The primary thesis of this review is that immunological differences exist between the sexes that may underlie increased parasitism in males compared to females. Several field and laboratory studies link sex differences in immune function with circulating steroid hormones; thus, the roles of sex steroids, including testosterone, oestradiol, and progesterone, as well as glucocorticoids will be discussed. Not only can host hormones affect responses to infection, but parasites can both produce and alter hormone concentrations in their hosts. The extent to which changes in endocrine–immune interactions following infection are mediated by the host or the parasite will be considered. Although males are more susceptible than females to many parasites, there are parasites for which males are more resistant than females and endocrine–immune interactions may underlie this sex reversal. Finally, although immunological differences exist between the sexes, genetic and behavioural differences may explain some variability in response to infection and will be explored as alternative hypotheses for how differences between the sexes contribute to dimorphic responses to parasites.","container-title":"Parasite Immunology","DOI":"https://doi.org/10.1111/j.0141-9838.2004.00710.x","ISSN":"1365-3024","issue":"6-7","language":"en","note":"_eprint: https://onlinelibrary.wiley.com/doi/pdf/10.1111/j.0141-9838.2004.00710.x","page":"247-264","source":"Wiley Online Library","title":"Hormonal and immunological mechanisms mediating sex differences in parasite infection","volume":"26","author":[{"family":"Klein","given":"S. L."}],"issued":{"date-parts":[["2004"]]}}}],"schema":"https://github.com/citation-style-language/schema/raw/master/csl-citation.json"} </w:instrText>
      </w:r>
      <w:r w:rsidR="00074D2E" w:rsidRPr="00883FC0">
        <w:rPr>
          <w:rFonts w:ascii="Arial" w:eastAsia="Times New Roman" w:hAnsi="Arial" w:cs="Arial"/>
          <w:sz w:val="24"/>
          <w:szCs w:val="24"/>
          <w:lang w:val="en-US" w:eastAsia="fr-FR"/>
        </w:rPr>
        <w:fldChar w:fldCharType="separate"/>
      </w:r>
      <w:r w:rsidR="00074D2E" w:rsidRPr="00883FC0">
        <w:rPr>
          <w:rFonts w:ascii="Arial" w:hAnsi="Arial" w:cs="Arial"/>
          <w:sz w:val="24"/>
          <w:lang w:val="en-US"/>
        </w:rPr>
        <w:t>(Klein, 2004)</w:t>
      </w:r>
      <w:r w:rsidR="00074D2E" w:rsidRPr="00883FC0">
        <w:rPr>
          <w:rFonts w:ascii="Arial" w:eastAsia="Times New Roman" w:hAnsi="Arial" w:cs="Arial"/>
          <w:sz w:val="24"/>
          <w:szCs w:val="24"/>
          <w:lang w:val="en-US" w:eastAsia="fr-FR"/>
        </w:rPr>
        <w:fldChar w:fldCharType="end"/>
      </w:r>
      <w:r w:rsidRPr="00883FC0">
        <w:rPr>
          <w:rFonts w:ascii="Arial" w:eastAsia="Times New Roman" w:hAnsi="Arial" w:cs="Arial"/>
          <w:sz w:val="24"/>
          <w:szCs w:val="24"/>
          <w:lang w:val="en-US" w:eastAsia="fr-FR"/>
        </w:rPr>
        <w:t>, leading to increased parasitism</w:t>
      </w:r>
      <w:r w:rsidR="00FE5027" w:rsidRPr="00883FC0">
        <w:rPr>
          <w:rFonts w:ascii="Arial" w:eastAsia="Times New Roman" w:hAnsi="Arial" w:cs="Arial"/>
          <w:sz w:val="24"/>
          <w:szCs w:val="24"/>
          <w:lang w:val="en-US" w:eastAsia="fr-FR"/>
        </w:rPr>
        <w:t xml:space="preserve">. In addition, ibex segregate by sex </w:t>
      </w:r>
      <w:r w:rsidR="00FE5027" w:rsidRPr="00883FC0">
        <w:rPr>
          <w:rFonts w:ascii="Arial" w:eastAsia="Times New Roman" w:hAnsi="Arial" w:cs="Arial"/>
          <w:sz w:val="24"/>
          <w:szCs w:val="24"/>
          <w:lang w:val="en-US" w:eastAsia="fr-FR"/>
        </w:rPr>
        <w:fldChar w:fldCharType="begin"/>
      </w:r>
      <w:r w:rsidR="00FE5027" w:rsidRPr="00883FC0">
        <w:rPr>
          <w:rFonts w:ascii="Arial" w:eastAsia="Times New Roman" w:hAnsi="Arial" w:cs="Arial"/>
          <w:sz w:val="24"/>
          <w:szCs w:val="24"/>
          <w:lang w:val="en-US" w:eastAsia="fr-FR"/>
        </w:rPr>
        <w:instrText xml:space="preserve"> ADDIN ZOTERO_ITEM CSL_CITATION {"citationID":"OTQZpoOd","properties":{"formattedCitation":"(Brambilla et al., 2022)","plainCitation":"(Brambilla et al., 2022)","noteIndex":0},"citationItems":[{"id":3131,"uris":["http://zotero.org/users/local/NciqjDvn/items/4WQ8EPXE"],"itemData":{"id":3131,"type":"chapter","abstract":"This comprehensive species</w:instrText>
      </w:r>
      <w:r w:rsidR="00FE5027" w:rsidRPr="00883FC0">
        <w:rPr>
          <w:rFonts w:ascii="Cambria Math" w:eastAsia="Times New Roman" w:hAnsi="Cambria Math" w:cs="Cambria Math"/>
          <w:sz w:val="24"/>
          <w:szCs w:val="24"/>
          <w:lang w:val="en-US" w:eastAsia="fr-FR"/>
        </w:rPr>
        <w:instrText>‑</w:instrText>
      </w:r>
      <w:r w:rsidR="00FE5027" w:rsidRPr="00883FC0">
        <w:rPr>
          <w:rFonts w:ascii="Arial" w:eastAsia="Times New Roman" w:hAnsi="Arial" w:cs="Arial"/>
          <w:sz w:val="24"/>
          <w:szCs w:val="24"/>
          <w:lang w:val="en-US" w:eastAsia="fr-FR"/>
        </w:rPr>
        <w:instrText xml:space="preserve">specific chapter covers all aspects of the biology of Alpine ibex Capra ibex, including paleontology, physiology, genetics, life history, ecology, habitat, diet, and behavior.","collection-title":"Handbook of the Mammals of Europe","container-title":"Terrestrial Cetartiodactyla","event-place":"Cham","ISBN":"978-3-030-24475-0","language":"en","note":"DOI: 10.1007/978-3-030-24475-0_32","page":"383-408","publisher":"Springer International Publishing","publisher-place":"Cham","source":"Springer Link","title":"Alpine Ibex &lt;i&gt; Capra ibex&lt;/i&gt;  Linnaeus, 1758","URL":"https://doi.org/10.1007/978-3-030-24475-0_32","author":[{"family":"Brambilla","given":"Alice"},{"family":"Bassano","given":"Bruno"},{"family":"Biebach","given":"Iris"},{"family":"Bollmann","given":"Kurt"},{"family":"Keller","given":"Lukas"},{"family":"Toïgo","given":"Carole"},{"family":"Hardenberg","given":"Achaz","non-dropping-particle":"von"}],"editor":[{"family":"Corlatti","given":"Luca"},{"family":"Zachos","given":"Frank E."}],"accessed":{"date-parts":[["2022",10,12]]},"issued":{"date-parts":[["2022"]]}}}],"schema":"https://github.com/citation-style-language/schema/raw/master/csl-citation.json"} </w:instrText>
      </w:r>
      <w:r w:rsidR="00FE5027" w:rsidRPr="00883FC0">
        <w:rPr>
          <w:rFonts w:ascii="Arial" w:eastAsia="Times New Roman" w:hAnsi="Arial" w:cs="Arial"/>
          <w:sz w:val="24"/>
          <w:szCs w:val="24"/>
          <w:lang w:val="en-US" w:eastAsia="fr-FR"/>
        </w:rPr>
        <w:fldChar w:fldCharType="separate"/>
      </w:r>
      <w:r w:rsidR="00FE5027" w:rsidRPr="00883FC0">
        <w:rPr>
          <w:rFonts w:ascii="Arial" w:hAnsi="Arial" w:cs="Arial"/>
          <w:sz w:val="24"/>
          <w:szCs w:val="24"/>
          <w:lang w:val="en-US"/>
        </w:rPr>
        <w:t>(Brambilla et al., 2022)</w:t>
      </w:r>
      <w:r w:rsidR="00FE5027" w:rsidRPr="00883FC0">
        <w:rPr>
          <w:rFonts w:ascii="Arial" w:eastAsia="Times New Roman" w:hAnsi="Arial" w:cs="Arial"/>
          <w:sz w:val="24"/>
          <w:szCs w:val="24"/>
          <w:lang w:val="en-US" w:eastAsia="fr-FR"/>
        </w:rPr>
        <w:fldChar w:fldCharType="end"/>
      </w:r>
      <w:r w:rsidR="00FE5027" w:rsidRPr="00883FC0">
        <w:rPr>
          <w:rFonts w:ascii="Arial" w:eastAsia="Times New Roman" w:hAnsi="Arial" w:cs="Arial"/>
          <w:sz w:val="24"/>
          <w:szCs w:val="24"/>
          <w:lang w:val="en-US" w:eastAsia="fr-FR"/>
        </w:rPr>
        <w:t>, providing less opportunities for intersexual transmission of parasites. Contrary to females and kids, males feed on patches grazed by domestic sheep</w:t>
      </w:r>
      <w:r w:rsidR="007D07A6" w:rsidRPr="00883FC0">
        <w:rPr>
          <w:rFonts w:ascii="Arial" w:eastAsia="Times New Roman" w:hAnsi="Arial" w:cs="Arial"/>
          <w:sz w:val="24"/>
          <w:szCs w:val="24"/>
          <w:lang w:val="en-US" w:eastAsia="fr-FR"/>
        </w:rPr>
        <w:t xml:space="preserve"> </w:t>
      </w:r>
      <w:r w:rsidR="00972C2A" w:rsidRPr="00883FC0">
        <w:rPr>
          <w:rFonts w:ascii="Arial" w:eastAsia="Times New Roman" w:hAnsi="Arial" w:cs="Arial"/>
          <w:sz w:val="24"/>
          <w:szCs w:val="24"/>
          <w:lang w:val="en-US" w:eastAsia="fr-FR"/>
        </w:rPr>
        <w:t xml:space="preserve">before the grazing period </w:t>
      </w:r>
      <w:r w:rsidR="007D07A6" w:rsidRPr="00883FC0">
        <w:rPr>
          <w:rFonts w:ascii="Arial" w:eastAsia="Times New Roman" w:hAnsi="Arial" w:cs="Arial"/>
          <w:sz w:val="24"/>
          <w:szCs w:val="24"/>
          <w:lang w:val="en-US" w:eastAsia="fr-FR"/>
        </w:rPr>
        <w:fldChar w:fldCharType="begin"/>
      </w:r>
      <w:r w:rsidR="007D07A6" w:rsidRPr="00883FC0">
        <w:rPr>
          <w:rFonts w:ascii="Arial" w:eastAsia="Times New Roman" w:hAnsi="Arial" w:cs="Arial"/>
          <w:sz w:val="24"/>
          <w:szCs w:val="24"/>
          <w:lang w:val="en-US" w:eastAsia="fr-FR"/>
        </w:rPr>
        <w:instrText xml:space="preserve"> ADDIN ZOTERO_ITEM CSL_CITATION {"citationID":"Qlr5IYPt","properties":{"formattedCitation":"(Margaillan, 2021)","plainCitation":"(Margaillan, 2021)","noteIndex":0},"citationItems":[{"id":5061,"uris":["http://zotero.org/users/local/NciqjDvn/items/QUMRVDKQ"],"itemData":{"id":5061,"type":"report","genre":"Master thesis","page":"31","publisher":"Office Français de la Biodiversité","title":"Simultaneous GPS monitoring during summer reveals habitat selection in male Alpine ibex is shaped by resource and interference competition with sheep herds","author":[{"family":"Margaillan","given":"Léa"}],"issued":{"date-parts":[["2021"]]}}}],"schema":"https://github.com/citation-style-language/schema/raw/master/csl-citation.json"} </w:instrText>
      </w:r>
      <w:r w:rsidR="007D07A6" w:rsidRPr="00883FC0">
        <w:rPr>
          <w:rFonts w:ascii="Arial" w:eastAsia="Times New Roman" w:hAnsi="Arial" w:cs="Arial"/>
          <w:sz w:val="24"/>
          <w:szCs w:val="24"/>
          <w:lang w:val="en-US" w:eastAsia="fr-FR"/>
        </w:rPr>
        <w:fldChar w:fldCharType="separate"/>
      </w:r>
      <w:r w:rsidR="007D07A6" w:rsidRPr="00883FC0">
        <w:rPr>
          <w:rFonts w:ascii="Arial" w:hAnsi="Arial" w:cs="Arial"/>
          <w:sz w:val="24"/>
          <w:lang w:val="en-US"/>
        </w:rPr>
        <w:t>(Margaillan, 2021)</w:t>
      </w:r>
      <w:r w:rsidR="007D07A6" w:rsidRPr="00883FC0">
        <w:rPr>
          <w:rFonts w:ascii="Arial" w:eastAsia="Times New Roman" w:hAnsi="Arial" w:cs="Arial"/>
          <w:sz w:val="24"/>
          <w:szCs w:val="24"/>
          <w:lang w:val="en-US" w:eastAsia="fr-FR"/>
        </w:rPr>
        <w:fldChar w:fldCharType="end"/>
      </w:r>
      <w:r w:rsidR="00FE5027" w:rsidRPr="00883FC0">
        <w:rPr>
          <w:rFonts w:ascii="Arial" w:eastAsia="Times New Roman" w:hAnsi="Arial" w:cs="Arial"/>
          <w:sz w:val="24"/>
          <w:szCs w:val="24"/>
          <w:lang w:val="en-US" w:eastAsia="fr-FR"/>
        </w:rPr>
        <w:t xml:space="preserve">, increasing the probability of infection of males by over-wintering nematodes deposited by livestock during the previous transhumance </w:t>
      </w:r>
      <w:r w:rsidR="00FE5027" w:rsidRPr="00883FC0">
        <w:rPr>
          <w:rFonts w:ascii="Arial" w:eastAsia="Times New Roman" w:hAnsi="Arial" w:cs="Arial"/>
          <w:sz w:val="24"/>
          <w:szCs w:val="24"/>
          <w:lang w:val="en-US" w:eastAsia="fr-FR"/>
        </w:rPr>
        <w:fldChar w:fldCharType="begin"/>
      </w:r>
      <w:r w:rsidR="00FE5027" w:rsidRPr="00883FC0">
        <w:rPr>
          <w:rFonts w:ascii="Arial" w:eastAsia="Times New Roman" w:hAnsi="Arial" w:cs="Arial"/>
          <w:sz w:val="24"/>
          <w:szCs w:val="24"/>
          <w:lang w:val="en-US" w:eastAsia="fr-FR"/>
        </w:rPr>
        <w:instrText xml:space="preserve"> ADDIN ZOTERO_ITEM CSL_CITATION {"citationID":"D1yzRVzJ","properties":{"formattedCitation":"(O\\uc0\\u8217{}Connor et al., 2006)","plainCitation":"(O’Connor et al., 2006)","noteIndex":0},"citationItems":[{"id":1341,"uris":["http://zotero.org/users/local/NciqjDvn/items/3RJNMR4E"],"itemData":{"id":1341,"type":"article-journal","abstract":"Significant developments over recent decades make it timely to review the ecology of the major gastrointestinal nematode (GIN) species of sheep. These include the relentless development and spread of anthelmintic resistance in all of the major sheep production regions of the world, and the consequent drive towards integrated parasite management (IPM) systems incorporating non-chemotherapeutic strategies such as grazing management. The success of such programs is dependent on a detailed understanding of the environmental influences on the free-living stages of the nematode lifecycle. Major reviews of the subject were conducted prior to 1980, however considerable work has been completed since, including the development of mathematical models describing the epidemiology of GIN infection. Knowledge of the temperature thresholds for free-living development has also improved, while investigations of moisture influences and interactions with temperature have allowed more effective exploitation of environmental effects for IPM. This review re-evaluates our understanding of the factors that determine the success or failure of the free-living phases of the lifecycle in light of these developments. Temperature and moisture are the dominant influences on the free-living stages of Haemonchus contortus, Teladorsagia circumcincta and Trichostrongylus colubriformis, with the effects of pasture conditions playing a significant modulating role. Early in the free-living phase, the developmental success of the three GIN species is limited by susceptibility to cold temperatures. In general, H. contortus is most susceptible, followed by T. colubriformis and then T. circumcincta. The length of the development cycle is dependent largely on temperature, with development rate increasing at warmer temperatures. However, in order for development to proceed to the infective larval stage, addition of moisture is generally required. There has been considerably less work quantifying the effects of moisture on free-living development, although it is clear that H. contortus is most susceptible to desiccation during the pre-infective stages. Once the infective stage is reached, the influences of temperature and moisture on survival are less important, resulting in considerable survival times under conditions lethal to pre-infective stages. However, hot, dry conditions can be lethal for infective larvae of all three species, while extreme cold is also lethal with significant species variation. While the existing body of knowledge is substantial, the interpretation of many studies and comparison between them is complicated by inadequate description of, or variation in, the environmental measurements used. Confounding the effects of environmental variables on development to infective stage is the migration of larvae from the faeces and subsequent survival on pasture. There is a need to build on recent efforts to explore interaction between the effects of temperature and moisture, and also the trend to more closely simulate field conditions in laboratory studies. We propose a logical framework for future ecological investigations to overcome some of these problems, facilitate the development of a more integrated dataset on the subject and improve prediction of free-living development.","container-title":"Veterinary Parasitology","DOI":"10.1016/j.vetpar.2006.08.035","ISSN":"0304-4017","issue":"1","journalAbbreviation":"Vet. Parasitol","language":"en","page":"1-15","source":"ScienceDirect","title":"Ecology of the free-living stages of major trichostrongylid parasites of sheep","volume":"142","author":[{"family":"O’Connor","given":"Lauren J."},{"family":"Walkden-Brown","given":"Stephen W."},{"family":"Kahn","given":"Lewis P."}],"issued":{"date-parts":[["2006",11,30]]}}}],"schema":"https://github.com/citation-style-language/schema/raw/master/csl-citation.json"} </w:instrText>
      </w:r>
      <w:r w:rsidR="00FE5027" w:rsidRPr="00883FC0">
        <w:rPr>
          <w:rFonts w:ascii="Arial" w:eastAsia="Times New Roman" w:hAnsi="Arial" w:cs="Arial"/>
          <w:sz w:val="24"/>
          <w:szCs w:val="24"/>
          <w:lang w:val="en-US" w:eastAsia="fr-FR"/>
        </w:rPr>
        <w:fldChar w:fldCharType="separate"/>
      </w:r>
      <w:r w:rsidR="00FE5027" w:rsidRPr="00883FC0">
        <w:rPr>
          <w:rFonts w:ascii="Arial" w:hAnsi="Arial" w:cs="Arial"/>
          <w:sz w:val="24"/>
          <w:szCs w:val="24"/>
          <w:lang w:val="en-US"/>
        </w:rPr>
        <w:t>(O’Connor et al., 2006)</w:t>
      </w:r>
      <w:r w:rsidR="00FE5027" w:rsidRPr="00883FC0">
        <w:rPr>
          <w:rFonts w:ascii="Arial" w:eastAsia="Times New Roman" w:hAnsi="Arial" w:cs="Arial"/>
          <w:sz w:val="24"/>
          <w:szCs w:val="24"/>
          <w:lang w:val="en-US" w:eastAsia="fr-FR"/>
        </w:rPr>
        <w:fldChar w:fldCharType="end"/>
      </w:r>
      <w:r w:rsidR="00FE5027" w:rsidRPr="00883FC0">
        <w:rPr>
          <w:rFonts w:ascii="Arial" w:eastAsia="Times New Roman" w:hAnsi="Arial" w:cs="Arial"/>
          <w:sz w:val="24"/>
          <w:szCs w:val="24"/>
          <w:lang w:val="en-US" w:eastAsia="fr-FR"/>
        </w:rPr>
        <w:t xml:space="preserve">. </w:t>
      </w:r>
      <w:r w:rsidR="00972C2A" w:rsidRPr="00883FC0">
        <w:rPr>
          <w:rFonts w:ascii="Arial" w:eastAsia="Times New Roman" w:hAnsi="Arial" w:cs="Arial"/>
          <w:sz w:val="24"/>
          <w:szCs w:val="24"/>
          <w:lang w:val="en-US" w:eastAsia="fr-FR"/>
        </w:rPr>
        <w:t>However</w:t>
      </w:r>
      <w:r w:rsidR="00FE5027" w:rsidRPr="00883FC0">
        <w:rPr>
          <w:rFonts w:ascii="Arial" w:eastAsia="Times New Roman" w:hAnsi="Arial" w:cs="Arial"/>
          <w:sz w:val="24"/>
          <w:szCs w:val="24"/>
          <w:lang w:val="en-US" w:eastAsia="fr-FR"/>
        </w:rPr>
        <w:t xml:space="preserve">, we did not </w:t>
      </w:r>
      <w:r w:rsidR="00045BC5" w:rsidRPr="00045BC5">
        <w:rPr>
          <w:rFonts w:ascii="Arial" w:eastAsia="Times New Roman" w:hAnsi="Arial" w:cs="Arial"/>
          <w:sz w:val="24"/>
          <w:szCs w:val="24"/>
          <w:highlight w:val="yellow"/>
          <w:lang w:val="en-US" w:eastAsia="fr-FR"/>
        </w:rPr>
        <w:t>observe</w:t>
      </w:r>
      <w:r w:rsidR="00FE5027" w:rsidRPr="00883FC0">
        <w:rPr>
          <w:rFonts w:ascii="Arial" w:eastAsia="Times New Roman" w:hAnsi="Arial" w:cs="Arial"/>
          <w:sz w:val="24"/>
          <w:szCs w:val="24"/>
          <w:lang w:val="en-US" w:eastAsia="fr-FR"/>
        </w:rPr>
        <w:t xml:space="preserve"> any difference between classes concerning benzimidazole resistance </w:t>
      </w:r>
      <w:r w:rsidR="00FE5027" w:rsidRPr="00045BC5">
        <w:rPr>
          <w:rFonts w:ascii="Arial" w:eastAsia="Times New Roman" w:hAnsi="Arial" w:cs="Arial"/>
          <w:sz w:val="24"/>
          <w:szCs w:val="24"/>
          <w:highlight w:val="yellow"/>
          <w:lang w:val="en-US" w:eastAsia="fr-FR"/>
        </w:rPr>
        <w:t xml:space="preserve">frequencies. </w:t>
      </w:r>
      <w:r w:rsidR="00045BC5" w:rsidRPr="00045BC5">
        <w:rPr>
          <w:rFonts w:ascii="Arial" w:eastAsia="Times New Roman" w:hAnsi="Arial" w:cs="Arial"/>
          <w:sz w:val="24"/>
          <w:szCs w:val="24"/>
          <w:highlight w:val="yellow"/>
          <w:lang w:val="en-US" w:eastAsia="fr-FR"/>
        </w:rPr>
        <w:t>Further</w:t>
      </w:r>
      <w:r w:rsidR="00FE5027" w:rsidRPr="00883FC0">
        <w:rPr>
          <w:rFonts w:ascii="Arial" w:eastAsia="Times New Roman" w:hAnsi="Arial" w:cs="Arial"/>
          <w:sz w:val="24"/>
          <w:szCs w:val="24"/>
          <w:lang w:val="en-US" w:eastAsia="fr-FR"/>
        </w:rPr>
        <w:t xml:space="preserve"> information </w:t>
      </w:r>
      <w:r w:rsidR="00045BC5" w:rsidRPr="00045BC5">
        <w:rPr>
          <w:rFonts w:ascii="Arial" w:eastAsia="Times New Roman" w:hAnsi="Arial" w:cs="Arial"/>
          <w:sz w:val="24"/>
          <w:szCs w:val="24"/>
          <w:highlight w:val="yellow"/>
          <w:lang w:val="en-US" w:eastAsia="fr-FR"/>
        </w:rPr>
        <w:t>on</w:t>
      </w:r>
      <w:r w:rsidR="00FE5027" w:rsidRPr="00883FC0">
        <w:rPr>
          <w:rFonts w:ascii="Arial" w:eastAsia="Times New Roman" w:hAnsi="Arial" w:cs="Arial"/>
          <w:sz w:val="24"/>
          <w:szCs w:val="24"/>
          <w:lang w:val="en-US" w:eastAsia="fr-FR"/>
        </w:rPr>
        <w:t xml:space="preserve"> the spatial </w:t>
      </w:r>
      <w:r w:rsidR="00FE5027" w:rsidRPr="00883FC0">
        <w:rPr>
          <w:rFonts w:ascii="Arial" w:eastAsia="Times New Roman" w:hAnsi="Arial" w:cs="Arial"/>
          <w:sz w:val="24"/>
          <w:szCs w:val="24"/>
          <w:lang w:val="en-US" w:eastAsia="fr-FR"/>
        </w:rPr>
        <w:lastRenderedPageBreak/>
        <w:t xml:space="preserve">distribution of both sexes </w:t>
      </w:r>
      <w:r w:rsidR="00045BC5" w:rsidRPr="00045BC5">
        <w:rPr>
          <w:rFonts w:ascii="Arial" w:eastAsia="Times New Roman" w:hAnsi="Arial" w:cs="Arial"/>
          <w:sz w:val="24"/>
          <w:szCs w:val="24"/>
          <w:highlight w:val="yellow"/>
          <w:lang w:val="en-US" w:eastAsia="fr-FR"/>
        </w:rPr>
        <w:t>is necessary</w:t>
      </w:r>
      <w:r w:rsidR="00FE5027" w:rsidRPr="00883FC0">
        <w:rPr>
          <w:rFonts w:ascii="Arial" w:eastAsia="Times New Roman" w:hAnsi="Arial" w:cs="Arial"/>
          <w:sz w:val="24"/>
          <w:szCs w:val="24"/>
          <w:lang w:val="en-US" w:eastAsia="fr-FR"/>
        </w:rPr>
        <w:t xml:space="preserve"> to investigate the susceptibility</w:t>
      </w:r>
      <w:r w:rsidR="00972C2A" w:rsidRPr="00883FC0">
        <w:rPr>
          <w:rFonts w:ascii="Arial" w:eastAsia="Times New Roman" w:hAnsi="Arial" w:cs="Arial"/>
          <w:sz w:val="24"/>
          <w:szCs w:val="24"/>
          <w:lang w:val="en-US" w:eastAsia="fr-FR"/>
        </w:rPr>
        <w:t xml:space="preserve"> of different sexes or age classes and its importance in the</w:t>
      </w:r>
      <w:r w:rsidR="00FE5027" w:rsidRPr="00883FC0">
        <w:rPr>
          <w:rFonts w:ascii="Arial" w:eastAsia="Times New Roman" w:hAnsi="Arial" w:cs="Arial"/>
          <w:sz w:val="24"/>
          <w:szCs w:val="24"/>
          <w:lang w:val="en-US" w:eastAsia="fr-FR"/>
        </w:rPr>
        <w:t xml:space="preserve"> spread and exchange</w:t>
      </w:r>
      <w:r w:rsidR="002D0E01">
        <w:rPr>
          <w:rFonts w:ascii="Arial" w:eastAsia="Times New Roman" w:hAnsi="Arial" w:cs="Arial"/>
          <w:sz w:val="24"/>
          <w:szCs w:val="24"/>
          <w:lang w:val="en-US" w:eastAsia="fr-FR"/>
        </w:rPr>
        <w:t xml:space="preserve"> </w:t>
      </w:r>
      <w:r w:rsidR="002D0E01" w:rsidRPr="002D0E01">
        <w:rPr>
          <w:rFonts w:ascii="Arial" w:eastAsia="Times New Roman" w:hAnsi="Arial" w:cs="Arial"/>
          <w:sz w:val="24"/>
          <w:szCs w:val="24"/>
          <w:highlight w:val="yellow"/>
          <w:lang w:val="en-US" w:eastAsia="fr-FR"/>
        </w:rPr>
        <w:t>of</w:t>
      </w:r>
      <w:r w:rsidR="00FE5027" w:rsidRPr="00883FC0">
        <w:rPr>
          <w:rFonts w:ascii="Arial" w:eastAsia="Times New Roman" w:hAnsi="Arial" w:cs="Arial"/>
          <w:sz w:val="24"/>
          <w:szCs w:val="24"/>
          <w:lang w:val="en-US" w:eastAsia="fr-FR"/>
        </w:rPr>
        <w:t xml:space="preserve"> parasites with domestic livestock </w:t>
      </w:r>
      <w:r w:rsidR="00FE5027" w:rsidRPr="00883FC0">
        <w:rPr>
          <w:rFonts w:ascii="Arial" w:eastAsia="Times New Roman" w:hAnsi="Arial" w:cs="Arial"/>
          <w:sz w:val="24"/>
          <w:szCs w:val="24"/>
          <w:lang w:val="en-US" w:eastAsia="fr-FR"/>
        </w:rPr>
        <w:fldChar w:fldCharType="begin"/>
      </w:r>
      <w:r w:rsidR="00FE5027" w:rsidRPr="00883FC0">
        <w:rPr>
          <w:rFonts w:ascii="Arial" w:eastAsia="Times New Roman" w:hAnsi="Arial" w:cs="Arial"/>
          <w:sz w:val="24"/>
          <w:szCs w:val="24"/>
          <w:lang w:val="en-US" w:eastAsia="fr-FR"/>
        </w:rPr>
        <w:instrText xml:space="preserve"> ADDIN ZOTERO_ITEM CSL_CITATION {"citationID":"wgAFDS6y","properties":{"formattedCitation":"(Bourgoin et al., 2021)","plainCitation":"(Bourgoin et al., 2021)","noteIndex":0},"citationItems":[{"id":2091,"uris":["http://zotero.org/users/local/NciqjDvn/items/9GLSLZL2"],"itemData":{"id":2091,"type":"article-journal","abstract":", \nSeveral individual, environmental and parasitic factors can influence the impacts of parasites on host's fitness and on host's ability to transmit these parasites to new hosts. Identifying these factors and the individuals who play a greater role in parasite transmission is of main concern for the development of parasite control strategies. In the present study, we aimed to describe the diversity of gastrointestinal parasites and to identify the individual factors influencing the faecal spreading of parasites in a free-ranging population of Mediterranean mouflon. From the analysis of 433 faecal samples, we found Eimeria spp. and gastrointestinal strongyles (GIS) were the most common parasites (&gt;94%). The faecal oocyst counts of Eimeria spp. were the highest during the first years of life. It was 1.6 times higher in females than in males and 2.5 times higher in individuals in poor than in good body condition. Similarly, the faecal egg count of GIS was higher in females and decreased with age, but only in males. Finally, reproductive females had GIS faecal egg count values 2.6 times higher than non-reproductive females. Management strategies of parasites should thus primarily focus on reproductive females and young individuals in poor body condition as they represent the main contamination source of the environment.","container-title":"Parasitology","DOI":"10.1017/S0031182021000329","ISSN":"0031-1820, 1469-8161","issue":"7","language":"fr","page":"809-818","source":"Cambridge University Press","title":"Reproductive females and young mouflon (&lt;i&gt;Ovis gmelini musimon&lt;/i&gt; × &lt;i&gt;Ovis&lt;/i&gt; sp.) in poor body condition are the main spreaders of gastrointestinal parasites","volume":"148","author":[{"family":"Bourgoin","given":"Gilles"},{"family":"Portanier","given":"Elodie"},{"family":"Poirel","given":"Marie-Thérèse"},{"family":"Itty","given":"Christian"},{"family":"Duhayer","given":"Jeanne"},{"family":"Benabed","given":"Slimania"},{"family":"Cockenpot","given":"Anne"},{"family":"Callait-Cardinal","given":"Marie-Pierre"},{"family":"Garel","given":"Mathieu"}],"issued":{"date-parts":[["2021",6]]}}}],"schema":"https://github.com/citation-style-language/schema/raw/master/csl-citation.json"} </w:instrText>
      </w:r>
      <w:r w:rsidR="00FE5027" w:rsidRPr="00883FC0">
        <w:rPr>
          <w:rFonts w:ascii="Arial" w:eastAsia="Times New Roman" w:hAnsi="Arial" w:cs="Arial"/>
          <w:sz w:val="24"/>
          <w:szCs w:val="24"/>
          <w:lang w:val="en-US" w:eastAsia="fr-FR"/>
        </w:rPr>
        <w:fldChar w:fldCharType="separate"/>
      </w:r>
      <w:r w:rsidR="00FE5027" w:rsidRPr="00883FC0">
        <w:rPr>
          <w:rFonts w:ascii="Arial" w:hAnsi="Arial" w:cs="Arial"/>
          <w:sz w:val="24"/>
          <w:szCs w:val="24"/>
          <w:lang w:val="en-US"/>
        </w:rPr>
        <w:t>(Bourgoin et al., 2021)</w:t>
      </w:r>
      <w:r w:rsidR="00FE5027" w:rsidRPr="00883FC0">
        <w:rPr>
          <w:rFonts w:ascii="Arial" w:eastAsia="Times New Roman" w:hAnsi="Arial" w:cs="Arial"/>
          <w:sz w:val="24"/>
          <w:szCs w:val="24"/>
          <w:lang w:val="en-US" w:eastAsia="fr-FR"/>
        </w:rPr>
        <w:fldChar w:fldCharType="end"/>
      </w:r>
      <w:bookmarkEnd w:id="46"/>
      <w:r w:rsidR="00FE5027" w:rsidRPr="00883FC0">
        <w:rPr>
          <w:rFonts w:ascii="Arial" w:eastAsia="Times New Roman" w:hAnsi="Arial" w:cs="Arial"/>
          <w:sz w:val="24"/>
          <w:szCs w:val="24"/>
          <w:lang w:val="en-US" w:eastAsia="fr-FR"/>
        </w:rPr>
        <w:t>.</w:t>
      </w:r>
    </w:p>
    <w:p w14:paraId="0D060A9C" w14:textId="520CCB01" w:rsidR="007902A8" w:rsidRPr="00883FC0" w:rsidRDefault="003E01B7" w:rsidP="00A0712B">
      <w:pPr>
        <w:spacing w:after="0" w:line="360" w:lineRule="auto"/>
        <w:ind w:firstLine="360"/>
        <w:jc w:val="both"/>
        <w:rPr>
          <w:rFonts w:ascii="Arial" w:eastAsia="Times New Roman" w:hAnsi="Arial" w:cs="Arial"/>
          <w:sz w:val="24"/>
          <w:szCs w:val="24"/>
          <w:lang w:val="en-US" w:eastAsia="fr-FR"/>
        </w:rPr>
      </w:pPr>
      <w:bookmarkStart w:id="47" w:name="_Hlk169427139"/>
      <w:r w:rsidRPr="00883FC0">
        <w:rPr>
          <w:rFonts w:ascii="Arial" w:hAnsi="Arial" w:cs="Arial"/>
          <w:sz w:val="24"/>
          <w:szCs w:val="24"/>
          <w:lang w:val="en-GB"/>
        </w:rPr>
        <w:t>We detected anthelmintic resistant alleles in 4 out of the 5 nematode species</w:t>
      </w:r>
      <w:r w:rsidR="005F7197" w:rsidRPr="00883FC0">
        <w:rPr>
          <w:rFonts w:ascii="Arial" w:hAnsi="Arial" w:cs="Arial"/>
          <w:sz w:val="24"/>
          <w:szCs w:val="24"/>
          <w:lang w:val="en-GB"/>
        </w:rPr>
        <w:t xml:space="preserve"> tested</w:t>
      </w:r>
      <w:r w:rsidRPr="00883FC0">
        <w:rPr>
          <w:rFonts w:ascii="Arial" w:hAnsi="Arial" w:cs="Arial"/>
          <w:sz w:val="24"/>
          <w:szCs w:val="24"/>
          <w:lang w:val="en-GB"/>
        </w:rPr>
        <w:t xml:space="preserve">, namely </w:t>
      </w:r>
      <w:r w:rsidRPr="00883FC0">
        <w:rPr>
          <w:rFonts w:ascii="Arial" w:hAnsi="Arial" w:cs="Arial"/>
          <w:i/>
          <w:sz w:val="24"/>
          <w:szCs w:val="24"/>
          <w:lang w:val="en-GB"/>
        </w:rPr>
        <w:t>H</w:t>
      </w:r>
      <w:r w:rsidR="005F7197" w:rsidRPr="00883FC0">
        <w:rPr>
          <w:rFonts w:ascii="Arial" w:hAnsi="Arial" w:cs="Arial"/>
          <w:i/>
          <w:sz w:val="24"/>
          <w:szCs w:val="24"/>
          <w:lang w:val="en-GB"/>
        </w:rPr>
        <w:t>aemonchus</w:t>
      </w:r>
      <w:r w:rsidRPr="00883FC0">
        <w:rPr>
          <w:rFonts w:ascii="Arial" w:hAnsi="Arial" w:cs="Arial"/>
          <w:i/>
          <w:sz w:val="24"/>
          <w:szCs w:val="24"/>
          <w:lang w:val="en-GB"/>
        </w:rPr>
        <w:t xml:space="preserve"> contortus</w:t>
      </w:r>
      <w:r w:rsidRPr="00883FC0">
        <w:rPr>
          <w:rFonts w:ascii="Arial" w:hAnsi="Arial" w:cs="Arial"/>
          <w:sz w:val="24"/>
          <w:szCs w:val="24"/>
          <w:lang w:val="en-GB"/>
        </w:rPr>
        <w:t xml:space="preserve">, </w:t>
      </w:r>
      <w:r w:rsidRPr="00883FC0">
        <w:rPr>
          <w:rFonts w:ascii="Arial" w:hAnsi="Arial" w:cs="Arial"/>
          <w:i/>
          <w:sz w:val="24"/>
          <w:szCs w:val="24"/>
          <w:lang w:val="en-GB"/>
        </w:rPr>
        <w:t>T</w:t>
      </w:r>
      <w:r w:rsidR="005F7197" w:rsidRPr="00883FC0">
        <w:rPr>
          <w:rFonts w:ascii="Arial" w:hAnsi="Arial" w:cs="Arial"/>
          <w:i/>
          <w:sz w:val="24"/>
          <w:szCs w:val="24"/>
          <w:lang w:val="en-GB"/>
        </w:rPr>
        <w:t>eladorsagia</w:t>
      </w:r>
      <w:r w:rsidRPr="00883FC0">
        <w:rPr>
          <w:rFonts w:ascii="Arial" w:hAnsi="Arial" w:cs="Arial"/>
          <w:i/>
          <w:sz w:val="24"/>
          <w:szCs w:val="24"/>
          <w:lang w:val="en-GB"/>
        </w:rPr>
        <w:t xml:space="preserve"> circumcincta</w:t>
      </w:r>
      <w:r w:rsidRPr="00883FC0">
        <w:rPr>
          <w:rFonts w:ascii="Arial" w:hAnsi="Arial" w:cs="Arial"/>
          <w:sz w:val="24"/>
          <w:szCs w:val="24"/>
          <w:lang w:val="en-GB"/>
        </w:rPr>
        <w:t>,</w:t>
      </w:r>
      <w:r w:rsidRPr="00883FC0">
        <w:rPr>
          <w:rFonts w:ascii="Arial" w:hAnsi="Arial" w:cs="Arial"/>
          <w:i/>
          <w:sz w:val="24"/>
          <w:szCs w:val="24"/>
          <w:lang w:val="en-GB"/>
        </w:rPr>
        <w:t xml:space="preserve"> Trichostrongylus axei</w:t>
      </w:r>
      <w:r w:rsidRPr="00883FC0">
        <w:rPr>
          <w:rFonts w:ascii="Arial" w:hAnsi="Arial" w:cs="Arial"/>
          <w:sz w:val="24"/>
          <w:szCs w:val="24"/>
          <w:lang w:val="en-GB"/>
        </w:rPr>
        <w:t xml:space="preserve">, </w:t>
      </w:r>
      <w:r w:rsidRPr="00883FC0">
        <w:rPr>
          <w:rFonts w:ascii="Arial" w:hAnsi="Arial" w:cs="Arial"/>
          <w:i/>
          <w:sz w:val="24"/>
          <w:szCs w:val="24"/>
          <w:lang w:val="en-GB"/>
        </w:rPr>
        <w:t>Trichostrongylus colubriformis</w:t>
      </w:r>
      <w:r w:rsidRPr="00883FC0">
        <w:rPr>
          <w:rFonts w:ascii="Arial" w:hAnsi="Arial" w:cs="Arial"/>
          <w:sz w:val="24"/>
          <w:szCs w:val="24"/>
          <w:lang w:val="en-GB"/>
        </w:rPr>
        <w:t>, but not</w:t>
      </w:r>
      <w:r w:rsidR="00972C2A" w:rsidRPr="00883FC0">
        <w:rPr>
          <w:rFonts w:ascii="Arial" w:hAnsi="Arial" w:cs="Arial"/>
          <w:sz w:val="24"/>
          <w:szCs w:val="24"/>
          <w:lang w:val="en-GB"/>
        </w:rPr>
        <w:t xml:space="preserve"> in</w:t>
      </w:r>
      <w:r w:rsidRPr="00883FC0">
        <w:rPr>
          <w:rFonts w:ascii="Arial" w:hAnsi="Arial" w:cs="Arial"/>
          <w:sz w:val="24"/>
          <w:szCs w:val="24"/>
          <w:lang w:val="en-GB"/>
        </w:rPr>
        <w:t xml:space="preserve"> </w:t>
      </w:r>
      <w:r w:rsidRPr="00883FC0">
        <w:rPr>
          <w:rFonts w:ascii="Arial" w:hAnsi="Arial" w:cs="Arial"/>
          <w:i/>
          <w:sz w:val="24"/>
          <w:szCs w:val="24"/>
          <w:lang w:val="en-GB"/>
        </w:rPr>
        <w:t>T</w:t>
      </w:r>
      <w:r w:rsidR="005F7197" w:rsidRPr="00883FC0">
        <w:rPr>
          <w:rFonts w:ascii="Arial" w:hAnsi="Arial" w:cs="Arial"/>
          <w:i/>
          <w:sz w:val="24"/>
          <w:szCs w:val="24"/>
          <w:lang w:val="en-GB"/>
        </w:rPr>
        <w:t>richostrongylus</w:t>
      </w:r>
      <w:r w:rsidRPr="00883FC0">
        <w:rPr>
          <w:rFonts w:ascii="Arial" w:hAnsi="Arial" w:cs="Arial"/>
          <w:i/>
          <w:sz w:val="24"/>
          <w:szCs w:val="24"/>
          <w:lang w:val="en-GB"/>
        </w:rPr>
        <w:t xml:space="preserve"> vitrinus</w:t>
      </w:r>
      <w:r w:rsidRPr="00883FC0">
        <w:rPr>
          <w:rFonts w:ascii="Arial" w:hAnsi="Arial" w:cs="Arial"/>
          <w:sz w:val="24"/>
          <w:szCs w:val="24"/>
          <w:lang w:val="en-GB"/>
        </w:rPr>
        <w:t xml:space="preserve">. Both sheep and ibex hosted resistant strains of the 4 nematode species and only 10 out of 116 ibex </w:t>
      </w:r>
      <w:r w:rsidR="005F7197" w:rsidRPr="00883FC0">
        <w:rPr>
          <w:rFonts w:ascii="Arial" w:hAnsi="Arial" w:cs="Arial"/>
          <w:sz w:val="24"/>
          <w:szCs w:val="24"/>
          <w:lang w:val="en-GB"/>
        </w:rPr>
        <w:t>carried only susceptible</w:t>
      </w:r>
      <w:r w:rsidRPr="00883FC0">
        <w:rPr>
          <w:rFonts w:ascii="Arial" w:hAnsi="Arial" w:cs="Arial"/>
          <w:sz w:val="24"/>
          <w:szCs w:val="24"/>
          <w:lang w:val="en-GB"/>
        </w:rPr>
        <w:t xml:space="preserve"> strains. </w:t>
      </w:r>
      <w:r w:rsidR="00045BC5" w:rsidRPr="00045BC5">
        <w:rPr>
          <w:rFonts w:ascii="Arial" w:hAnsi="Arial" w:cs="Arial"/>
          <w:sz w:val="24"/>
          <w:szCs w:val="24"/>
          <w:highlight w:val="yellow"/>
          <w:lang w:val="en-GB"/>
        </w:rPr>
        <w:t>B</w:t>
      </w:r>
      <w:r w:rsidRPr="00883FC0">
        <w:rPr>
          <w:rFonts w:ascii="Arial" w:hAnsi="Arial" w:cs="Arial"/>
          <w:sz w:val="24"/>
          <w:szCs w:val="24"/>
          <w:lang w:val="en-GB"/>
        </w:rPr>
        <w:t xml:space="preserve">enzimidazole resistance was therefore very common in </w:t>
      </w:r>
      <w:r w:rsidR="005F7197" w:rsidRPr="00883FC0">
        <w:rPr>
          <w:rFonts w:ascii="Arial" w:hAnsi="Arial" w:cs="Arial"/>
          <w:sz w:val="24"/>
          <w:szCs w:val="24"/>
          <w:lang w:val="en-GB"/>
        </w:rPr>
        <w:t>both host groups</w:t>
      </w:r>
      <w:r w:rsidRPr="00883FC0">
        <w:rPr>
          <w:rFonts w:ascii="Arial" w:hAnsi="Arial" w:cs="Arial"/>
          <w:sz w:val="24"/>
          <w:szCs w:val="24"/>
          <w:lang w:val="en-GB"/>
        </w:rPr>
        <w:t xml:space="preserve">, </w:t>
      </w:r>
      <w:r w:rsidR="00045BC5" w:rsidRPr="00045BC5">
        <w:rPr>
          <w:rFonts w:ascii="Arial" w:hAnsi="Arial" w:cs="Arial"/>
          <w:sz w:val="24"/>
          <w:szCs w:val="24"/>
          <w:highlight w:val="yellow"/>
          <w:lang w:val="en-GB"/>
        </w:rPr>
        <w:t>consistent</w:t>
      </w:r>
      <w:r w:rsidR="00045BC5">
        <w:rPr>
          <w:rFonts w:ascii="Arial" w:hAnsi="Arial" w:cs="Arial"/>
          <w:sz w:val="24"/>
          <w:szCs w:val="24"/>
          <w:lang w:val="en-GB"/>
        </w:rPr>
        <w:t xml:space="preserve"> </w:t>
      </w:r>
      <w:r w:rsidRPr="00883FC0">
        <w:rPr>
          <w:rFonts w:ascii="Arial" w:hAnsi="Arial" w:cs="Arial"/>
          <w:sz w:val="24"/>
          <w:szCs w:val="24"/>
          <w:lang w:val="en-GB"/>
        </w:rPr>
        <w:t xml:space="preserve">with the situation of sheep farms in Europe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{"citationID":"a2grs2t4up0","properties":{"formattedCitation":"(Rose et al., 2015; Rose Vineer et al., 2020)","plainCitation":"(Rose et al., 2015; Rose Vineer et al., 2020)","noteIndex":0},"citationItems":[{"id":958,"uris":["http://zotero.org/users/local/NciqjDvn/items/T4SFWCQE"],"itemData":{"id":958,"type":"article-journal","abstract":"Anthelmintic resistance (AR) in gastrointestinal nematodes (GINs) has been reported worldwide in multiple nematode and livestock species (Kaplan and Vidyashankar 2012) and is a major constraint on production on affected farms (Sutherland and others 2010, Miller and others 2012). In the UK and Ireland, for example, AR in GINs and anthelmintic treatment failure is widespread in sheep (e.g. Bartley and others 2003, Keane and others 2014) and increasingly reported in cattle (e.g. O'Shaughnessy and others 2014). There is, therefore, a need to develop and adopt GIN control strategies that maintain the efficacy of anthelmintics and to identify risk factors for the development of AR.\n\nEnvironmental constraints on farm management and the survival of nematodes in refugia appear to play an important role in the development of AR. In a random survey of sheep farms in Norway, AR was found only in coastal regions (Domke and others 2012a). Papadopoulos and others (2001) observed a higher incidence of AR on isolated Greek islands, suggesting that drought hastens the development of AR. In contrast, Rinaldi and others (2014) observed high anthelmintic efficacy in sheep in southern Italy despite the Mediterranean climate. This was attributed to the low number of anthelmintic treatments (usually two per year) and the absence of anthelmintic treatments during periods of drought, when environmental constraints on the free-living stages are highest. Calvete and others (2012) identified an association between AR, distance between farms with AR, management and bioclimatic …","container-title":"Veterinary Record","DOI":"10.1136/vr.102982","ISSN":"0042-4900, 2042-7670","issue":"21","language":"en","license":"British Veterinary Association","note":"publisher: British Medical Journal Publishing Group\nsection: Research\nPMID: 25762583","page":"546-546","source":"veterinaryrecord.bmj.com","title":"Widespread anthelmintic resistance in European farmed ruminants: a systematic review","title-short":"Widespread anthelmintic resistance in European farmed ruminants","volume":"176","author":[{"family":"Rose","given":"H."},{"family":"Rinaldi","given":"L."},{"family":"Bosco","given":"A."},{"family":"Mavrot","given":"F."},{"family":"Waal","given":"T.","dropping-particle":"de"},{"family":"Skuce","given":"P."},{"family":"Charlier","given":"J."},{"family":"Torgerson","given":"P. R."},{"family":"Hertzberg","given":"H."},{"family":"Hendrickx","given":"G."},{"family":"Vercruysse","given":"J."},{"family":"Morgan","given":"E. R."}],"issued":{"date-parts":[["2015",5,23]]}}},{"id":3631,"uris":["http://zotero.org/users/local/NciqjDvn/items/2EVWIP8N"],"itemData":{"id":3631,"type":"article-journal","abstract":"Helminth infections are ubiquitous in grazing ruminant production systems, and are responsible for significant costs and production losses. Anthelmintic Resistance (AR) in parasites is now widespread throughout Europe, although there are still gaps in our knowledge in some regions and countries. AR is a major threat to the sustainability of modern ruminant livestock production, resulting in reduced productivity, compromised animal health and welfare, and increased greenhouse gas emissions through increased parasitism and farm inputs. A better understanding of the extent of AR in Europe is needed to develop and advocate more sustainable parasite control approaches. A database of European published and unpublished AR research on gastrointestinal nematodes (GIN) and liver fluke (Fasciola hepatica) was collated by members of the European COST Action “COMBAR” (Combatting Anthelmintic Resistance in Ruminants), and combined with data from a previous systematic review of AR in GIN. A total of 197 publications on AR in GIN were available for analysis, representing 535 studies in 22 countries and spanning the period 1980–2020. Reports of AR were present throughout the European continent and some reports indicated high within-country prevalence. Heuristic sample size-weighted estimates of European AR prevalence over the whole study period, stratified by anthelmintic class, varied between 0 and 48%. Estimated regional (country) prevalence was highly heterogeneous, ranging between 0% and 100% depending on livestock sector and anthelmintic class, and generally increased with increasing research effort in a country. In the few countries with adequate longitudinal data, there was a tendency towards increasing AR over time for all anthelmintic classes in GIN: aggregated results in sheep and goats since 2010 reveal an average prevalence of resistance to benzimidazoles (BZ) of 86%, macrocyclic lactones except moxidectin (ML) 52%, levamisole (LEV) 48%, and moxidectin (MOX) 21%. All major GIN genera survived treatment in various studies. In cattle, prevalence of AR varied between anthelmintic classes from 0–100% (BZ and ML), 0–17% (LEV) and 0–73% (MOX), and both Cooperia and Ostertagia survived treatment. Suspected AR in F. hepatica was reported in 21 studies spanning 6 countries. For GIN and particularly F. hepatica, there was a bias towards preferential sampling of individual farms with suspected AR, and research effort was biased towards Western Europe and particularly the United Kingdom. Ongoing capture of future results in the live database, efforts to avoid bias in farm recruitment, more accurate tests for AR, and stronger appreciation of the importance of AR among the agricultural industry and policy makers, will support more sophisticated analyses of factors contributing to AR and effective strategies to slow its spread.","container-title":"Parasite","DOI":"10.1051/parasite/2020062","ISSN":"1252-607X","journalAbbreviation":"Parasite","note":"PMID: 33277891\nPMCID: PMC7718593","page":"69","source":"PubMed Central","title":"Increasing importance of anthelmintic resistance in European livestock: creation and meta-analysis of an open database","title-short":"Increasing importance of anthelmintic resistance in European livestock","volume":"27","author":[{"family":"Rose Vineer","given":"Hannah"},{"family":"Morgan","given":"Eric R."},{"family":"Hertzberg","given":"Hubertus"},{"family":"Bartley","given":"David J."},{"family":"Bosco","given":"Antonio"},{"family":"Charlier","given":"Johannes"},{"family":"Chartier","given":"Christophe"},{"family":"Claerebout","given":"Edwin"},{"family":"Waal","given":"Theo","non-dropping-particle":"de"},{"family":"Hendrickx","given":"Guy"},{"family":"Hinney","given":"Barbara"},{"family":"Höglund","given":"Johan"},{"family":"Ježek","given":"Jožica"},{"family":"Kašný","given":"Martin"},{"family":"Keane","given":"Orla M."},{"family":"Martínez-Valladares","given":"María"},{"family":"Mateus","given":"Teresa Letra"},{"family":"McIntyre","given":"Jennifer"},{"family":"Mickiewicz","given":"Marcin"},{"family":"Munoz","given":"Ana Maria"},{"family":"Phythian","given":"Clare Joan"},{"family":"Ploeger","given":"Harm W."},{"family":"Rataj","given":"Aleksandra Vergles"},{"family":"Skuce","given":"Philip J."},{"family":"Simin","given":"Stanislav"},{"family":"Sotiraki","given":"Smaragda"},{"family":"Spinu","given":"Marina"},{"family":"Stuen","given":"Snorre"},{"family":"Thamsborg","given":"Stig Milan"},{"family":"Vadlejch","given":"Jaroslav"},{"family":"Varady","given":"Marian"},{"family":"Samson-Himmelstjerna","given":"Georg","non-dropping-particle":"von"},{"family":"Rinaldi","given":"Laura"}],"issued":{"date-parts":[["2020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(Rose et al., 2015; Rose Vineer et al., 2020)</w:t>
      </w:r>
      <w:r w:rsidRPr="00883FC0">
        <w:rPr>
          <w:rFonts w:ascii="Arial" w:hAnsi="Arial" w:cs="Arial"/>
          <w:sz w:val="24"/>
          <w:szCs w:val="24"/>
          <w:lang w:val="en-GB"/>
        </w:rPr>
        <w:fldChar w:fldCharType="end"/>
      </w:r>
      <w:r w:rsidRPr="00883FC0">
        <w:rPr>
          <w:rFonts w:ascii="Arial" w:hAnsi="Arial" w:cs="Arial"/>
          <w:sz w:val="24"/>
          <w:szCs w:val="24"/>
          <w:lang w:val="en-GB"/>
        </w:rPr>
        <w:t xml:space="preserve">. The presence of anthelmintic resistant nematodes in ibex is most likely explained by the indirect transmission of resistant nematodes from sheep to ibex through </w:t>
      </w:r>
      <w:r w:rsidRPr="00883FC0">
        <w:rPr>
          <w:rFonts w:ascii="Arial" w:hAnsi="Arial" w:cs="Arial"/>
          <w:color w:val="000000" w:themeColor="text1"/>
          <w:sz w:val="24"/>
          <w:szCs w:val="24"/>
          <w:lang w:val="en-GB"/>
        </w:rPr>
        <w:t>the</w:t>
      </w:r>
      <w:r w:rsidR="0013180C" w:rsidRPr="00883FC0">
        <w:rPr>
          <w:rFonts w:ascii="Arial" w:hAnsi="Arial" w:cs="Arial"/>
          <w:color w:val="000000" w:themeColor="text1"/>
          <w:sz w:val="24"/>
          <w:szCs w:val="24"/>
          <w:lang w:val="en-US"/>
        </w:rPr>
        <w:t xml:space="preserve"> deposit</w:t>
      </w:r>
      <w:r w:rsidR="00045BC5" w:rsidRPr="00045BC5">
        <w:rPr>
          <w:rFonts w:ascii="Arial" w:hAnsi="Arial" w:cs="Arial"/>
          <w:color w:val="000000" w:themeColor="text1"/>
          <w:sz w:val="24"/>
          <w:szCs w:val="24"/>
          <w:highlight w:val="yellow"/>
          <w:lang w:val="en-US"/>
        </w:rPr>
        <w:t>ion</w:t>
      </w:r>
      <w:r w:rsidR="0013180C" w:rsidRPr="00883FC0">
        <w:rPr>
          <w:rFonts w:ascii="Arial" w:hAnsi="Arial" w:cs="Arial"/>
          <w:color w:val="000000" w:themeColor="text1"/>
          <w:sz w:val="24"/>
          <w:szCs w:val="24"/>
          <w:lang w:val="en-US"/>
        </w:rPr>
        <w:t xml:space="preserve"> of infected feces by sheep on pastures.</w:t>
      </w:r>
      <w:r w:rsidRPr="00883FC0">
        <w:rPr>
          <w:rFonts w:ascii="Arial" w:hAnsi="Arial" w:cs="Arial"/>
          <w:color w:val="000000" w:themeColor="text1"/>
          <w:sz w:val="24"/>
          <w:szCs w:val="24"/>
          <w:lang w:val="en-GB"/>
        </w:rPr>
        <w:t xml:space="preserve"> The large number of shared β-tubulin ASVs between sheep and ibex and the high overlap between their nemabiome</w:t>
      </w:r>
      <w:r w:rsidR="005F7197" w:rsidRPr="00883FC0">
        <w:rPr>
          <w:rFonts w:ascii="Arial" w:hAnsi="Arial" w:cs="Arial"/>
          <w:color w:val="000000" w:themeColor="text1"/>
          <w:sz w:val="24"/>
          <w:szCs w:val="24"/>
          <w:lang w:val="en-GB"/>
        </w:rPr>
        <w:t>s</w:t>
      </w:r>
      <w:r w:rsidRPr="00883FC0">
        <w:rPr>
          <w:rFonts w:ascii="Arial" w:hAnsi="Arial" w:cs="Arial"/>
          <w:color w:val="000000" w:themeColor="text1"/>
          <w:sz w:val="24"/>
          <w:szCs w:val="24"/>
          <w:lang w:val="en-GB"/>
        </w:rPr>
        <w:t xml:space="preserve"> </w:t>
      </w:r>
      <w:r w:rsidR="0013180C" w:rsidRPr="00883FC0">
        <w:rPr>
          <w:rFonts w:ascii="Arial" w:hAnsi="Arial" w:cs="Arial"/>
          <w:color w:val="000000" w:themeColor="text1"/>
          <w:sz w:val="24"/>
          <w:szCs w:val="24"/>
          <w:lang w:val="en-US"/>
        </w:rPr>
        <w:t xml:space="preserve">tend to confirm this hypothesis </w:t>
      </w:r>
      <w:r w:rsidRPr="00883FC0">
        <w:rPr>
          <w:rFonts w:ascii="Arial" w:hAnsi="Arial" w:cs="Arial"/>
          <w:color w:val="000000" w:themeColor="text1"/>
          <w:sz w:val="24"/>
          <w:szCs w:val="24"/>
          <w:lang w:val="en-GB"/>
        </w:rPr>
        <w:t>(</w:t>
      </w:r>
      <w:r w:rsidR="00577DBD" w:rsidRPr="00883FC0">
        <w:rPr>
          <w:rFonts w:ascii="Arial" w:hAnsi="Arial" w:cs="Arial"/>
          <w:color w:val="000000" w:themeColor="text1"/>
          <w:sz w:val="24"/>
          <w:szCs w:val="24"/>
          <w:lang w:val="en-GB"/>
        </w:rPr>
        <w:t>Figure 2</w:t>
      </w:r>
      <w:r w:rsidRPr="00883FC0">
        <w:rPr>
          <w:rFonts w:ascii="Arial" w:hAnsi="Arial" w:cs="Arial"/>
          <w:color w:val="000000" w:themeColor="text1"/>
          <w:sz w:val="24"/>
          <w:szCs w:val="24"/>
          <w:lang w:val="en-GB"/>
        </w:rPr>
        <w:t>c,</w:t>
      </w:r>
      <w:r w:rsidR="005A0760" w:rsidRPr="00883FC0">
        <w:rPr>
          <w:rFonts w:ascii="Arial" w:hAnsi="Arial" w:cs="Arial"/>
          <w:color w:val="000000" w:themeColor="text1"/>
          <w:sz w:val="24"/>
          <w:szCs w:val="24"/>
          <w:lang w:val="en-GB"/>
        </w:rPr>
        <w:t xml:space="preserve"> Figure 3</w:t>
      </w:r>
      <w:r w:rsidRPr="00883FC0">
        <w:rPr>
          <w:rFonts w:ascii="Arial" w:hAnsi="Arial" w:cs="Arial"/>
          <w:color w:val="000000" w:themeColor="text1"/>
          <w:sz w:val="24"/>
          <w:szCs w:val="24"/>
          <w:lang w:val="en-GB"/>
        </w:rPr>
        <w:t>). This is</w:t>
      </w:r>
      <w:r w:rsidR="0013180C" w:rsidRPr="00883FC0">
        <w:rPr>
          <w:rFonts w:ascii="Arial" w:hAnsi="Arial" w:cs="Arial"/>
          <w:color w:val="000000" w:themeColor="text1"/>
          <w:sz w:val="24"/>
          <w:szCs w:val="24"/>
          <w:lang w:val="en-GB"/>
        </w:rPr>
        <w:t xml:space="preserve"> also</w:t>
      </w:r>
      <w:r w:rsidRPr="00883FC0">
        <w:rPr>
          <w:rFonts w:ascii="Arial" w:hAnsi="Arial" w:cs="Arial"/>
          <w:color w:val="000000" w:themeColor="text1"/>
          <w:sz w:val="24"/>
          <w:szCs w:val="24"/>
          <w:lang w:val="en-GB"/>
        </w:rPr>
        <w:t xml:space="preserve"> in accordance with other studies investigating nematode </w:t>
      </w:r>
      <w:r w:rsidRPr="002D0E01">
        <w:rPr>
          <w:rFonts w:ascii="Arial" w:hAnsi="Arial" w:cs="Arial"/>
          <w:color w:val="000000" w:themeColor="text1"/>
          <w:sz w:val="24"/>
          <w:szCs w:val="24"/>
          <w:highlight w:val="yellow"/>
          <w:lang w:val="en-GB"/>
        </w:rPr>
        <w:t>parasite</w:t>
      </w:r>
      <w:r w:rsidRPr="00883FC0">
        <w:rPr>
          <w:rFonts w:ascii="Arial" w:hAnsi="Arial" w:cs="Arial"/>
          <w:color w:val="000000" w:themeColor="text1"/>
          <w:sz w:val="24"/>
          <w:szCs w:val="24"/>
          <w:lang w:val="en-GB"/>
        </w:rPr>
        <w:t xml:space="preserve"> </w:t>
      </w:r>
      <w:r w:rsidR="0013180C" w:rsidRPr="00883FC0">
        <w:rPr>
          <w:rFonts w:ascii="Arial" w:hAnsi="Arial" w:cs="Arial"/>
          <w:color w:val="000000" w:themeColor="text1"/>
          <w:sz w:val="24"/>
          <w:szCs w:val="24"/>
          <w:lang w:val="en-GB"/>
        </w:rPr>
        <w:t xml:space="preserve">exchange </w:t>
      </w:r>
      <w:r w:rsidRPr="00883FC0">
        <w:rPr>
          <w:rFonts w:ascii="Arial" w:hAnsi="Arial" w:cs="Arial"/>
          <w:color w:val="000000" w:themeColor="text1"/>
          <w:sz w:val="24"/>
          <w:szCs w:val="24"/>
          <w:lang w:val="en-GB"/>
        </w:rPr>
        <w:t xml:space="preserve">at the interface </w:t>
      </w:r>
      <w:r w:rsidR="0013180C" w:rsidRPr="00883FC0">
        <w:rPr>
          <w:rFonts w:ascii="Arial" w:hAnsi="Arial" w:cs="Arial"/>
          <w:color w:val="000000" w:themeColor="text1"/>
          <w:sz w:val="24"/>
          <w:szCs w:val="24"/>
          <w:lang w:val="en-GB"/>
        </w:rPr>
        <w:t>between</w:t>
      </w:r>
      <w:r w:rsidRPr="00883FC0">
        <w:rPr>
          <w:rFonts w:ascii="Arial" w:hAnsi="Arial" w:cs="Arial"/>
          <w:color w:val="000000" w:themeColor="text1"/>
          <w:sz w:val="24"/>
          <w:szCs w:val="24"/>
          <w:lang w:val="en-GB"/>
        </w:rPr>
        <w:t xml:space="preserve"> wild and domestic ungulates </w:t>
      </w:r>
      <w:r w:rsidRPr="00883FC0">
        <w:rPr>
          <w:rFonts w:ascii="Arial" w:hAnsi="Arial" w:cs="Arial"/>
          <w:color w:val="000000" w:themeColor="text1"/>
          <w:sz w:val="24"/>
          <w:szCs w:val="24"/>
          <w:lang w:val="en-GB"/>
        </w:rPr>
        <w:fldChar w:fldCharType="begin"/>
      </w:r>
      <w:r w:rsidR="00991FDE" w:rsidRPr="00883FC0">
        <w:rPr>
          <w:rFonts w:ascii="Arial" w:hAnsi="Arial" w:cs="Arial"/>
          <w:color w:val="000000" w:themeColor="text1"/>
          <w:sz w:val="24"/>
          <w:szCs w:val="24"/>
          <w:lang w:val="en-GB"/>
        </w:rPr>
        <w:instrText xml:space="preserve"> ADDIN ZOTERO_ITEM CSL_CITATION {"citationID":"aha370pt4u","properties":{"formattedCitation":"(Beaumelle et al., 2022; Cerutti et al., 2010; Laca Megyesi et al., 2019)","plainCitation":"(Beaumelle et al., 2022; Cerutti et al., 2010; Laca Megyesi et al., 2019)","noteIndex":0},"citationItems":[{"id":3551,"uris":["http://zotero.org/users/local/NciqjDvn/items/CXSW5XXN"],"itemData":{"id":3551,"type":"article-journal","abstract":"The growth of livestock farming and the recent expansion of wild ungulate populations in Europe favor opportunities for direct and/or indirect cross-transmission of pathogens. Comparatively few studies have investigated the epidemiology of gastro-intestinal nematode parasites, an ubiquitous and important community of parasites of ungulates, at the wildlife/livestock interface. In this study, we aimed to assess the influence of livestock proximity on the gastrointestinal nematode community of roe deer in a rural landscape located in southern France. Using ITS-2 rDNA nemabiome metabarcoding on fecal larvae, we analysed the gastrointestinal nematode communities of roe deer and sheep. In addition, we investigated Haemonchus contortus nad4 mtDNA diversity to specifically test parasite circulation among domestic and wild host populations. The dominant gastrointestinal nematode species found in both the roe deer and sheep were generalist species commonly found in small ruminant livestock (e.g. H. contortus), whereas the more specialised wild cervid nematode species (e.g. Ostertagia leptospicularis) were only present at low frequencies. This is in marked contrast with previous studies that found the nemabiomes of wild cervid populations to be dominated by cervid specialist nematode species. In addition, the lack of genetic structure of the nad4 mtDNA of H. contortus populations between host species suggests circulation of gastrointestinal nematodes between roe deer and sheep. The risk of contact with livestock only has a small influence on the nemabiome of roe deer, suggesting the parasite population of roe deer has been displaced by generalist livestock parasites due to many decades of sheep farming, not only for deer grazing close to pastures, but also at a larger regional scale. We also observed some seasonal variation in the nemabiome composition of roe deer. Overall, our results demonstrate significant exchange of gastrointestinal nematodes between domestic and wild ungulates, with generalist species spilling over from domestic ungulates dominating wild cervid parasite communities.","container-title":"International Journal for Parasitology","DOI":"10.1016/j.ijpara.2022.07.005","ISSN":"0020-7519","journalAbbreviation":"International Journal for Parasitology","language":"en","source":"ScienceDirect","title":"Generalist nematodes dominate the nemabiome of roe deer in sympatry with sheep at a regional level","URL":"https://www.sciencedirect.com/science/article/pii/S0020751922001175","author":[{"family":"Beaumelle","given":"Camille"},{"family":"Redman","given":"Elizabeth"},{"family":"Verheyden","given":"Hélène"},{"family":"Jacquiet","given":"Philippe"},{"family":"Bégoc","given":"Noémie"},{"family":"Veyssière","given":"Florence"},{"family":"Benabed","given":"Slimania"},{"family":"Cargnelutti","given":"Bruno"},{"family":"Lourtet","given":"Bruno"},{"family":"Poirel","given":"Marie-Thérèse"},{"family":"Rijke","given":"Jill","non-dropping-particle":"de"},{"family":"Yannic","given":"Glenn"},{"family":"Gilleard","given":"John S."},{"family":"Bourgoin","given":"Gilles"}],"accessed":{"date-parts":[["2022",11,24]]},"issued":{"date-parts":[["2022",9,30]]}}},{"id":631,"uris":["http://zotero.org/users/local/NciqjDvn/items/7L2VHUIH"],"itemData":{"id":631,"type":"article-journal","abstract":"Genetic variability of the ovine parasite Haemonchus contortus from the Alpine area was investigated using mitochondrial DNA (nd4 gene), internal transcribed spacers 1 and 2 and microsatellites, in order to assess whether cross-transmission between domestic and wild ruminants occurs. The dataset was composed of 78 individual adult male H. contortus collected from chamois (Rupicapra r. rupicapra), roe deer (Capreolus capreolus), alpine ibex (Capra ibex ibex), domestic goat (Capra hircus) and sheep (Ovis aries) from different alpine areas. The data obtained show low host specificity and high genetic variation within H. contortus populations. The analyses indicate the presence of two mitochondrial haplotype clusters among host species and the absence of cryptic parasite species, confirming H. contortus as a generalist nematode and suggesting that parasite transmission between populations of domestic and wild ruminants normally occurs.","container-title":"Journal of Helminthology","DOI":"10.1017/S0022149X09990587","ISSN":"1475-2697, 0022-149X","issue":"3","language":"en","page":"276-283","source":"Cambridge Core","title":"Genetic variability of &lt;i&gt;Haemonchus contortus&lt;/i&gt; (Nematoda: Trichostrongyloidea) in alpine ruminant host species","title-short":"Genetic variability of Haemonchus contortus (Nematoda","volume":"84","author":[{"family":"Cerutti","given":"M. C."},{"family":"Citterio","given":"C. V."},{"family":"Bazzocchi","given":"C."},{"family":"Epis","given":"S."},{"family":"D'Amelio","given":"S."},{"family":"Ferrari","given":"N."},{"family":"Lanfranchi","given":"P."}],"issued":{"date-parts":[["2010",9]]}}},{"id":3360,"uris":["http://zotero.org/users/local/NciqjDvn/items/PYPTTD7R"],"itemData":{"id":3360,"type":"article-journal","abstract":"Anthelmintic resistance (AR) and gastrointestinal (GI) parasitism are well-known phenomena in domestic ruminants. Wild ruminants, however, pose a potential threat for the spread of AR to sheep and goat farms. We infected three species of wild ruminants, European mouflon (Ovis musimon), roe deer (Capreolus capreolus) and fallow deer (Dama dama), with 8000 third-stage larvae (L3) of the susceptible MHco3 strain and the resistant MHco4 strain of Haemonchus contortus. Infection intensity was highest in mouflons (26,500 ± 150.00 eggs per gramme (EPG) of faeces) on day (D) 58. The roe and fallow deer had low egg counts (50 ± 23.57 to 150 ± 80.64 EPG) to D58, after which no eggs were detected. In vitro egg hatch tests (EHTs) and larval development tests (LDTs) in</w:instrText>
      </w:r>
      <w:r w:rsidR="00991FDE" w:rsidRPr="00883FC0">
        <w:rPr>
          <w:rFonts w:ascii="Arial" w:hAnsi="Arial" w:cs="Arial"/>
          <w:color w:val="000000" w:themeColor="text1"/>
          <w:sz w:val="24"/>
          <w:szCs w:val="24"/>
        </w:rPr>
        <w:instrText xml:space="preserve">dicated the same level of benzimidazole resistance between mouflons and domestic sheep. Two domestic lambs were then infected with 2500 MHco4 L3 larvae and moved to a clean pasture. Two parasite-free roe deer were introduced to the same pasture 6 weeks later. Infection intensity in the two roe deer was highest on D35, at 800 and 4400 EPG. ED50 from the EHTs, LD50 from the LDTs, and the presence of H. contortus in faecal samples confirmed the transmission of the resistant strain from the wild to the domestic ruminants in the same pasture.","container-title":"European Journal of Wildlife Research","DOI":"10.1007/s10344-019-1351-x","ISSN":"1439-0574","issue":"1","journalAbbreviation":"Eur J Wildl Res","language":"en","page":"9","source":"Springer Link","title":"Wild ruminants as a potential risk factor for transmission of drug resistance in the abomasal nematode &lt;i&gt;Haemonchus contortus&lt;/i&gt;","volume":"66","author":[{"family":"Laca Megyesi","given":"Štefánia"},{"family":"Königová","given":"Alžbeta"},{"family":"Babják","given":"Michal"},{"family":"Molnár","given":"Ladislav"},{"family":"Rajský","given":"Matúš"},{"family":"Szestáková","given":"Edina"},{"family":"Major","given":"Peter"},{"family":"Soroka","given":"Jaroslav"},{"family":"Urda Dolinská","given":"Michaela"},{"family":"Komáromyová","given":"Michaela"},{"family":"Várady","given":"Marián"}],"issued":{"date-parts":[["2019",12,21]]}}}],"schema":"https://github.com/citation-style-language/schema/raw/master/csl-citation.json"} </w:instrText>
      </w:r>
      <w:r w:rsidRPr="00883FC0">
        <w:rPr>
          <w:rFonts w:ascii="Arial" w:hAnsi="Arial" w:cs="Arial"/>
          <w:color w:val="000000" w:themeColor="text1"/>
          <w:sz w:val="24"/>
          <w:szCs w:val="24"/>
          <w:lang w:val="en-GB"/>
        </w:rPr>
        <w:fldChar w:fldCharType="separate"/>
      </w:r>
      <w:r w:rsidR="00991FDE" w:rsidRPr="00883FC0">
        <w:rPr>
          <w:rFonts w:ascii="Arial" w:hAnsi="Arial" w:cs="Arial"/>
          <w:color w:val="000000" w:themeColor="text1"/>
          <w:sz w:val="24"/>
          <w:szCs w:val="24"/>
        </w:rPr>
        <w:t>(Beaumelle et al., 2022; Cerutti et al., 2010; Laca Megyesi et al., 2019)</w:t>
      </w:r>
      <w:r w:rsidRPr="00883FC0">
        <w:rPr>
          <w:rFonts w:ascii="Arial" w:hAnsi="Arial" w:cs="Arial"/>
          <w:color w:val="000000" w:themeColor="text1"/>
          <w:sz w:val="24"/>
          <w:szCs w:val="24"/>
          <w:lang w:val="en-GB"/>
        </w:rPr>
        <w:fldChar w:fldCharType="end"/>
      </w:r>
      <w:r w:rsidRPr="00883FC0">
        <w:rPr>
          <w:rFonts w:ascii="Arial" w:hAnsi="Arial" w:cs="Arial"/>
          <w:color w:val="000000" w:themeColor="text1"/>
          <w:sz w:val="24"/>
          <w:szCs w:val="24"/>
        </w:rPr>
        <w:t xml:space="preserve">. </w:t>
      </w:r>
      <w:r w:rsidR="0013180C" w:rsidRPr="00883FC0">
        <w:rPr>
          <w:rFonts w:ascii="Arial" w:hAnsi="Arial" w:cs="Arial"/>
          <w:color w:val="000000" w:themeColor="text1"/>
          <w:sz w:val="24"/>
          <w:szCs w:val="24"/>
          <w:lang w:val="en-US"/>
        </w:rPr>
        <w:t xml:space="preserve">Another pathway for the contamination of ibex by resistant nematodes could be the sublethal exposure of the free-living stages of nematodes to anthelmintic residues excreted in the environment by treated sheep, which can select for anthelmintic resistance in situ </w:t>
      </w:r>
      <w:r w:rsidR="00074D2E" w:rsidRPr="00883FC0">
        <w:rPr>
          <w:rFonts w:ascii="Arial" w:hAnsi="Arial" w:cs="Arial"/>
          <w:color w:val="000000" w:themeColor="text1"/>
          <w:sz w:val="24"/>
          <w:szCs w:val="24"/>
          <w:lang w:val="en-US"/>
        </w:rPr>
        <w:fldChar w:fldCharType="begin"/>
      </w:r>
      <w:r w:rsidR="00074D2E" w:rsidRPr="00883FC0">
        <w:rPr>
          <w:rFonts w:ascii="Arial" w:hAnsi="Arial" w:cs="Arial"/>
          <w:color w:val="000000" w:themeColor="text1"/>
          <w:sz w:val="24"/>
          <w:szCs w:val="24"/>
          <w:lang w:val="en-US"/>
        </w:rPr>
        <w:instrText xml:space="preserve"> ADDIN ZOTERO_ITEM CSL_CITATION {"citationID":"exQDi8Vx","properties":{"formattedCitation":"(Dimunov\\uc0\\u225{} et al., 2022)","plainCitation":"(Dimunová et al., 2022)","noteIndex":0},"citationItems":[{"id":5040,"uris":["http://zotero.org/users/local/NciqjDvn/items/V6F695L8"],"itemData":{"id":5040,"type":"article-journal","abstract":"Veterinary anthelmintics excreted from treated animals pass to soil, subsequently to plants and then to their consumers. This circulation might have various consequences, including drug-resistance promotion in helminths. The present study was designed to follow the effect of the environmental circulation of the common anthelmintic drug albendazole (ABZ) in real farm conditions on the parasitic nematode Haemonchus contortus in vivo. Two fields with fodder plants (clover and alfalfa) were fertilized, the first with dung from ABZ-treated sheep (at the recommended dosage), the second with dung from non-treated sheep (controls). After a 10-week growth period, the fresh fodder from both fields was used to feed two groups of sheep, which were infected with H. contortus. Eggs and adult nematodes from the animals of both groups were isolated, and various parameters were compared. No significant changes in the eggs' sensitivity to ABZ and thiabendazole were observed. However, significantly increased expression of several cytochromes P450 and UDP-glycosyl transferases as well as increased oxidation and glycosylation of ABZ and ABZ-sulfoxide (ABZ-SO) was found in the exposed nematodes. These results show that ABZ environmental circulation improves the ability of the helminths to deactivate ABZ.","container-title":"Science of The Total Environment","DOI":"10.1016/j.scitotenv.2022.153527","ISSN":"0048-9697","journalAbbreviation":"Science of The Total Environment","page":"153527","source":"ScienceDirect","title":"Environmental circulation of the anthelmintic drug albendazole affects expression and activity of resistance-related genes in the parasitic nematode Haemonchus contortus","volume":"822","author":[{"family":"Dimunová","given":"Diana"},{"family":"Matoušková","given":"Petra"},{"family":"Navrátilová","given":"Martina"},{"family":"Nguyen","given":"Linh Thuy"},{"family":"Ambrož","given":"Martin"},{"family":"Vokřál","given":"Ivan"},{"family":"Szotáková","given":"Barbora"},{"family":"Skálová","given":"Lenka"}],"issued":{"date-parts":[["2022",5,20]]}}}],"schema":"https://github.com/citation-style-language/schema/raw/master/csl-citation.json"} </w:instrText>
      </w:r>
      <w:r w:rsidR="00074D2E" w:rsidRPr="00883FC0">
        <w:rPr>
          <w:rFonts w:ascii="Arial" w:hAnsi="Arial" w:cs="Arial"/>
          <w:color w:val="000000" w:themeColor="text1"/>
          <w:sz w:val="24"/>
          <w:szCs w:val="24"/>
          <w:lang w:val="en-US"/>
        </w:rPr>
        <w:fldChar w:fldCharType="separate"/>
      </w:r>
      <w:r w:rsidR="00074D2E" w:rsidRPr="00883FC0">
        <w:rPr>
          <w:rFonts w:ascii="Arial" w:hAnsi="Arial" w:cs="Arial"/>
          <w:sz w:val="24"/>
          <w:szCs w:val="24"/>
          <w:lang w:val="en-US"/>
        </w:rPr>
        <w:t>(Dimunová et al., 2022)</w:t>
      </w:r>
      <w:r w:rsidR="00074D2E" w:rsidRPr="00883FC0">
        <w:rPr>
          <w:rFonts w:ascii="Arial" w:hAnsi="Arial" w:cs="Arial"/>
          <w:color w:val="000000" w:themeColor="text1"/>
          <w:sz w:val="24"/>
          <w:szCs w:val="24"/>
          <w:lang w:val="en-US"/>
        </w:rPr>
        <w:fldChar w:fldCharType="end"/>
      </w:r>
      <w:r w:rsidR="0013180C" w:rsidRPr="00883FC0">
        <w:rPr>
          <w:rFonts w:ascii="Arial" w:hAnsi="Arial" w:cs="Arial"/>
          <w:color w:val="000000" w:themeColor="text1"/>
          <w:sz w:val="24"/>
          <w:szCs w:val="24"/>
          <w:lang w:val="en-US"/>
        </w:rPr>
        <w:t>.</w:t>
      </w:r>
      <w:r w:rsidR="0013180C" w:rsidRPr="00883FC0">
        <w:rPr>
          <w:rFonts w:ascii="Arial" w:hAnsi="Arial" w:cs="Arial"/>
          <w:color w:val="000000" w:themeColor="text1"/>
          <w:lang w:val="en-US"/>
        </w:rPr>
        <w:t xml:space="preserve"> </w:t>
      </w:r>
      <w:r w:rsidR="007902A8" w:rsidRPr="00883FC0">
        <w:rPr>
          <w:rFonts w:ascii="Arial" w:eastAsia="Times New Roman" w:hAnsi="Arial" w:cs="Arial"/>
          <w:sz w:val="24"/>
          <w:szCs w:val="24"/>
          <w:lang w:val="en-US" w:eastAsia="fr-FR"/>
        </w:rPr>
        <w:t>Whereas sheep are generally treated just before their ascent to the mountain pastures, excretion of anthelmintic</w:t>
      </w:r>
      <w:r w:rsidR="00972C2A" w:rsidRPr="00883FC0">
        <w:rPr>
          <w:rFonts w:ascii="Arial" w:eastAsia="Times New Roman" w:hAnsi="Arial" w:cs="Arial"/>
          <w:sz w:val="24"/>
          <w:szCs w:val="24"/>
          <w:lang w:val="en-US" w:eastAsia="fr-FR"/>
        </w:rPr>
        <w:t xml:space="preserve"> drugs</w:t>
      </w:r>
      <w:r w:rsidR="007902A8" w:rsidRPr="00883FC0">
        <w:rPr>
          <w:rFonts w:ascii="Arial" w:eastAsia="Times New Roman" w:hAnsi="Arial" w:cs="Arial"/>
          <w:sz w:val="24"/>
          <w:szCs w:val="24"/>
          <w:lang w:val="en-US" w:eastAsia="fr-FR"/>
        </w:rPr>
        <w:t xml:space="preserve"> via sheep feces can occur during several days after the administration and molecule degradation</w:t>
      </w:r>
      <w:r w:rsidR="00286F0B">
        <w:rPr>
          <w:rFonts w:ascii="Arial" w:eastAsia="Times New Roman" w:hAnsi="Arial" w:cs="Arial"/>
          <w:sz w:val="24"/>
          <w:szCs w:val="24"/>
          <w:lang w:val="en-US" w:eastAsia="fr-FR"/>
        </w:rPr>
        <w:t xml:space="preserve"> </w:t>
      </w:r>
      <w:r w:rsidR="00286F0B" w:rsidRPr="00286F0B">
        <w:rPr>
          <w:rFonts w:ascii="Arial" w:eastAsia="Times New Roman" w:hAnsi="Arial" w:cs="Arial"/>
          <w:sz w:val="24"/>
          <w:szCs w:val="24"/>
          <w:highlight w:val="yellow"/>
          <w:lang w:val="en-US" w:eastAsia="fr-FR"/>
        </w:rPr>
        <w:t>can</w:t>
      </w:r>
      <w:r w:rsidR="007902A8" w:rsidRPr="00883FC0">
        <w:rPr>
          <w:rFonts w:ascii="Arial" w:eastAsia="Times New Roman" w:hAnsi="Arial" w:cs="Arial"/>
          <w:sz w:val="24"/>
          <w:szCs w:val="24"/>
          <w:lang w:val="en-US" w:eastAsia="fr-FR"/>
        </w:rPr>
        <w:t xml:space="preserve"> last days, or even months </w:t>
      </w:r>
      <w:r w:rsidR="00F527BF" w:rsidRPr="00883FC0">
        <w:rPr>
          <w:rFonts w:ascii="Arial" w:eastAsia="Times New Roman" w:hAnsi="Arial" w:cs="Arial"/>
          <w:sz w:val="24"/>
          <w:szCs w:val="24"/>
          <w:lang w:val="en-US" w:eastAsia="fr-FR"/>
        </w:rPr>
        <w:fldChar w:fldCharType="begin"/>
      </w:r>
      <w:r w:rsidR="00A36BEF" w:rsidRPr="00883FC0">
        <w:rPr>
          <w:rFonts w:ascii="Arial" w:eastAsia="Times New Roman" w:hAnsi="Arial" w:cs="Arial"/>
          <w:sz w:val="24"/>
          <w:szCs w:val="24"/>
          <w:lang w:val="en-US" w:eastAsia="fr-FR"/>
        </w:rPr>
        <w:instrText xml:space="preserve"> ADDIN ZOTERO_ITEM CSL_CITATION {"citationID":"FNkk6poD","properties":{"formattedCitation":"(Kolar et al., 2006)","plainCitation":"(Kolar et al., 2006)","noteIndex":0},"citationItems":[{"id":4592,"uris":["http://zotero.org/users/local/NciqjDvn/items/CSJY4RAM"],"itemData":{"id":4592,"type":"article-journal","abstract":"We studied abamectin and doramectin excretion and their degradation in sheep faeces under field conditions on pasture after a single subcutaneous dose (0.2mg/kg body weight). In the excretion experiment, maximal abamectin concentration (1277ng/g dry faeces) was detected on day 3, while doramectin concentration showed two peaks (2186 and 1780ng/g dry faeces on days 2 and 5, respectively). Both avermectins were excreted at approximately the same rate (k=0.23day−1 for abamectin and 0.19day−1 for doramectin). In the field, a rapid loss of abamectin and doramectin from sheep faeces was seen during the first 32days after which concentrations remained constant at approximately 77ng/g and 300ng/g, respectively. The half life values (DT50) for abamectin and doramectin dissipation from sheep faeces were 23 and 22days, respectively, during the first 32days. Dissipation of both avermectins was strongly correlated with moisture content of the faeces.","collection-title":"Soil and Sediment Remediation","container-title":"Environmental Pollution","DOI":"10.1016/j.envpol.2005.12.019","ISSN":"0269-7491","issue":"1","journalAbbreviation":"Environmental Pollution","language":"en","page":"197-202","source":"ScienceDirect","title":"Time profile of abamectin and doramectin excretion and degradation in sheep faeces","volume":"144","author":[{"family":"Kolar","given":"Lucija"},{"family":"Flajs","given":"Vesna Cerkvenik"},{"family":"Kužner","given":"Jernej"},{"family":"Marc","given":"Irena"},{"family":"Pogačnik","given":"Milan"},{"family":"Bidovec","given":"Andrej"},{"family":"Gestel","given":"Cornelis A. M.","non-dropping-particle":"van"},{"family":"Eržen","given":"Nevenka Kožuh"}],"issued":{"date-parts":[["2006",11,1]]}}}],"schema":"https://github.com/citation-style-language/schema/raw/master/csl-citation.json"} </w:instrText>
      </w:r>
      <w:r w:rsidR="00F527BF" w:rsidRPr="00883FC0">
        <w:rPr>
          <w:rFonts w:ascii="Arial" w:eastAsia="Times New Roman" w:hAnsi="Arial" w:cs="Arial"/>
          <w:sz w:val="24"/>
          <w:szCs w:val="24"/>
          <w:lang w:val="en-US" w:eastAsia="fr-FR"/>
        </w:rPr>
        <w:fldChar w:fldCharType="separate"/>
      </w:r>
      <w:r w:rsidR="00F527BF" w:rsidRPr="00883FC0">
        <w:rPr>
          <w:rFonts w:ascii="Arial" w:hAnsi="Arial" w:cs="Arial"/>
          <w:sz w:val="24"/>
          <w:lang w:val="en-US"/>
        </w:rPr>
        <w:t>(Kolar et al., 2006)</w:t>
      </w:r>
      <w:r w:rsidR="00F527BF" w:rsidRPr="00883FC0">
        <w:rPr>
          <w:rFonts w:ascii="Arial" w:eastAsia="Times New Roman" w:hAnsi="Arial" w:cs="Arial"/>
          <w:sz w:val="24"/>
          <w:szCs w:val="24"/>
          <w:lang w:val="en-US" w:eastAsia="fr-FR"/>
        </w:rPr>
        <w:fldChar w:fldCharType="end"/>
      </w:r>
      <w:r w:rsidR="007902A8" w:rsidRPr="00883FC0">
        <w:rPr>
          <w:rFonts w:ascii="Arial" w:eastAsia="Times New Roman" w:hAnsi="Arial" w:cs="Arial"/>
          <w:sz w:val="24"/>
          <w:szCs w:val="24"/>
          <w:lang w:val="en-US" w:eastAsia="fr-FR"/>
        </w:rPr>
        <w:t>. Unfortunately, the level of drugs in the environment, their persistence</w:t>
      </w:r>
      <w:r w:rsidR="00045BC5" w:rsidRPr="00045BC5">
        <w:rPr>
          <w:rFonts w:ascii="Arial" w:eastAsia="Times New Roman" w:hAnsi="Arial" w:cs="Arial"/>
          <w:sz w:val="24"/>
          <w:szCs w:val="24"/>
          <w:highlight w:val="yellow"/>
          <w:lang w:val="en-US" w:eastAsia="fr-FR"/>
        </w:rPr>
        <w:t>,</w:t>
      </w:r>
      <w:r w:rsidR="00045BC5">
        <w:rPr>
          <w:rFonts w:ascii="Arial" w:eastAsia="Times New Roman" w:hAnsi="Arial" w:cs="Arial"/>
          <w:sz w:val="24"/>
          <w:szCs w:val="24"/>
          <w:lang w:val="en-US" w:eastAsia="fr-FR"/>
        </w:rPr>
        <w:t xml:space="preserve"> </w:t>
      </w:r>
      <w:r w:rsidR="007902A8" w:rsidRPr="00883FC0">
        <w:rPr>
          <w:rFonts w:ascii="Arial" w:eastAsia="Times New Roman" w:hAnsi="Arial" w:cs="Arial"/>
          <w:sz w:val="24"/>
          <w:szCs w:val="24"/>
          <w:lang w:val="en-US" w:eastAsia="fr-FR"/>
        </w:rPr>
        <w:t xml:space="preserve">and their spread in grazed mountainous area are </w:t>
      </w:r>
      <w:r w:rsidR="00045BC5" w:rsidRPr="00045BC5">
        <w:rPr>
          <w:rFonts w:ascii="Arial" w:eastAsia="Times New Roman" w:hAnsi="Arial" w:cs="Arial"/>
          <w:sz w:val="24"/>
          <w:szCs w:val="24"/>
          <w:highlight w:val="yellow"/>
          <w:lang w:val="en-US" w:eastAsia="fr-FR"/>
        </w:rPr>
        <w:t>entirely</w:t>
      </w:r>
      <w:r w:rsidR="007902A8" w:rsidRPr="00883FC0">
        <w:rPr>
          <w:rFonts w:ascii="Arial" w:eastAsia="Times New Roman" w:hAnsi="Arial" w:cs="Arial"/>
          <w:sz w:val="24"/>
          <w:szCs w:val="24"/>
          <w:lang w:val="en-US" w:eastAsia="fr-FR"/>
        </w:rPr>
        <w:t xml:space="preserve"> unknown. Environmental circulation of anthelmintic residues should be investigated in further studies to understand </w:t>
      </w:r>
      <w:r w:rsidR="00045BC5" w:rsidRPr="00102B5D">
        <w:rPr>
          <w:rFonts w:ascii="Arial" w:eastAsia="Times New Roman" w:hAnsi="Arial" w:cs="Arial"/>
          <w:sz w:val="24"/>
          <w:szCs w:val="24"/>
          <w:highlight w:val="yellow"/>
          <w:lang w:val="en-US" w:eastAsia="fr-FR"/>
        </w:rPr>
        <w:t>their</w:t>
      </w:r>
      <w:r w:rsidR="00102B5D" w:rsidRPr="00102B5D">
        <w:rPr>
          <w:rFonts w:ascii="Arial" w:eastAsia="Times New Roman" w:hAnsi="Arial" w:cs="Arial"/>
          <w:sz w:val="24"/>
          <w:szCs w:val="24"/>
          <w:highlight w:val="yellow"/>
          <w:lang w:val="en-US" w:eastAsia="fr-FR"/>
        </w:rPr>
        <w:t xml:space="preserve"> impact</w:t>
      </w:r>
      <w:r w:rsidR="007902A8" w:rsidRPr="00883FC0">
        <w:rPr>
          <w:rFonts w:ascii="Arial" w:eastAsia="Times New Roman" w:hAnsi="Arial" w:cs="Arial"/>
          <w:sz w:val="24"/>
          <w:szCs w:val="24"/>
          <w:lang w:val="en-US" w:eastAsia="fr-FR"/>
        </w:rPr>
        <w:t xml:space="preserve"> on the presence of resistant nematodes in wildlife.</w:t>
      </w:r>
    </w:p>
    <w:p w14:paraId="7103330C" w14:textId="62ABAD4C" w:rsidR="003E01B7" w:rsidRPr="00883FC0" w:rsidRDefault="003E01B7"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It is worth noting that feces of ibex were sampled before the arrival of sheep on pastures. This</w:t>
      </w:r>
      <w:r w:rsidR="00B20604" w:rsidRPr="00883FC0">
        <w:rPr>
          <w:rFonts w:ascii="Arial" w:hAnsi="Arial" w:cs="Arial"/>
          <w:sz w:val="24"/>
          <w:szCs w:val="24"/>
          <w:lang w:val="en-GB"/>
        </w:rPr>
        <w:t xml:space="preserve"> </w:t>
      </w:r>
      <w:r w:rsidRPr="00883FC0">
        <w:rPr>
          <w:rFonts w:ascii="Arial" w:hAnsi="Arial" w:cs="Arial"/>
          <w:sz w:val="24"/>
          <w:szCs w:val="24"/>
          <w:lang w:val="en-GB"/>
        </w:rPr>
        <w:t>demonstrates that anthelmintic resistant nematodes can be maintained in mountainous areas from year to year in wild populations of ibex</w:t>
      </w:r>
      <w:r w:rsidR="00102B5D" w:rsidRPr="00102B5D">
        <w:rPr>
          <w:rFonts w:ascii="Arial" w:hAnsi="Arial" w:cs="Arial"/>
          <w:sz w:val="24"/>
          <w:szCs w:val="24"/>
          <w:highlight w:val="yellow"/>
          <w:lang w:val="en-GB"/>
        </w:rPr>
        <w:t>,</w:t>
      </w:r>
      <w:r w:rsidRPr="00883FC0">
        <w:rPr>
          <w:rFonts w:ascii="Arial" w:hAnsi="Arial" w:cs="Arial"/>
          <w:sz w:val="24"/>
          <w:szCs w:val="24"/>
          <w:lang w:val="en-GB"/>
        </w:rPr>
        <w:t xml:space="preserve"> despite harsh winter environmental conditions, and in the absence of the main source of parasites during most of the year, i.e., domestic sheep. The shedding of eggs from resistant nematodes by ibex prior to the arrival of domestic sheep </w:t>
      </w:r>
      <w:r w:rsidR="005A622C" w:rsidRPr="00883FC0">
        <w:rPr>
          <w:rFonts w:ascii="Arial" w:hAnsi="Arial" w:cs="Arial"/>
          <w:sz w:val="24"/>
          <w:szCs w:val="24"/>
          <w:lang w:val="en-GB"/>
        </w:rPr>
        <w:t xml:space="preserve">suggests </w:t>
      </w:r>
      <w:r w:rsidRPr="00883FC0">
        <w:rPr>
          <w:rFonts w:ascii="Arial" w:hAnsi="Arial" w:cs="Arial"/>
          <w:sz w:val="24"/>
          <w:szCs w:val="24"/>
          <w:lang w:val="en-GB"/>
        </w:rPr>
        <w:t xml:space="preserve">the potential role of ibex as a reservoir of anthelmintic resistant nematodes for other susceptible domestic and wild </w:t>
      </w:r>
      <w:r w:rsidRPr="00883FC0">
        <w:rPr>
          <w:rFonts w:ascii="Arial" w:hAnsi="Arial" w:cs="Arial"/>
          <w:sz w:val="24"/>
          <w:szCs w:val="24"/>
          <w:lang w:val="en-GB"/>
        </w:rPr>
        <w:lastRenderedPageBreak/>
        <w:t>ungulates.</w:t>
      </w:r>
      <w:r w:rsidR="00D955FB" w:rsidRPr="00883FC0">
        <w:rPr>
          <w:rFonts w:ascii="Arial" w:hAnsi="Arial" w:cs="Arial"/>
          <w:sz w:val="24"/>
          <w:szCs w:val="24"/>
          <w:lang w:val="en-GB"/>
        </w:rPr>
        <w:t xml:space="preserve"> </w:t>
      </w:r>
      <w:bookmarkStart w:id="48" w:name="_Hlk158222904"/>
      <w:bookmarkStart w:id="49" w:name="_Hlk158746620"/>
      <w:r w:rsidR="00AC49ED" w:rsidRPr="00883FC0">
        <w:rPr>
          <w:rFonts w:ascii="Arial" w:eastAsia="Times New Roman" w:hAnsi="Arial" w:cs="Arial"/>
          <w:sz w:val="24"/>
          <w:szCs w:val="24"/>
          <w:lang w:val="en-US" w:eastAsia="fr-FR"/>
        </w:rPr>
        <w:t>Once resistant strains have been selected, the absence of selection pressure (i.e. absence of the use of anthelmintics)</w:t>
      </w:r>
      <w:r w:rsidR="00972C2A" w:rsidRPr="00883FC0">
        <w:rPr>
          <w:rFonts w:ascii="Arial" w:eastAsia="Times New Roman" w:hAnsi="Arial" w:cs="Arial"/>
          <w:sz w:val="24"/>
          <w:szCs w:val="24"/>
          <w:lang w:val="en-US" w:eastAsia="fr-FR"/>
        </w:rPr>
        <w:t xml:space="preserve"> does </w:t>
      </w:r>
      <w:r w:rsidR="00AC49ED" w:rsidRPr="00883FC0">
        <w:rPr>
          <w:rFonts w:ascii="Arial" w:eastAsia="Times New Roman" w:hAnsi="Arial" w:cs="Arial"/>
          <w:sz w:val="24"/>
          <w:szCs w:val="24"/>
          <w:lang w:val="en-US" w:eastAsia="fr-FR"/>
        </w:rPr>
        <w:t xml:space="preserve">not guarantee the reversion of resistance </w:t>
      </w:r>
      <w:r w:rsidR="00AC49ED" w:rsidRPr="00883FC0">
        <w:rPr>
          <w:rFonts w:ascii="Arial" w:eastAsia="Times New Roman" w:hAnsi="Arial" w:cs="Arial"/>
          <w:sz w:val="24"/>
          <w:szCs w:val="24"/>
          <w:lang w:val="en-US" w:eastAsia="fr-FR"/>
        </w:rPr>
        <w:fldChar w:fldCharType="begin"/>
      </w:r>
      <w:r w:rsidR="00AC49ED" w:rsidRPr="00883FC0">
        <w:rPr>
          <w:rFonts w:ascii="Arial" w:eastAsia="Times New Roman" w:hAnsi="Arial" w:cs="Arial"/>
          <w:sz w:val="24"/>
          <w:szCs w:val="24"/>
          <w:lang w:val="en-US" w:eastAsia="fr-FR"/>
        </w:rPr>
        <w:instrText xml:space="preserve"> ADDIN ZOTERO_ITEM CSL_CITATION {"citationID":"uH7AuNVk","properties":{"formattedCitation":"(Hamilton et al., 2022; Leathwick et al., 2015)","plainCitation":"(Hamilton et al., 2022; Leathwick et al., 2015)","noteIndex":0},"citationItems":[{"id":5045,"uris":["http://zotero.org/users/local/NciqjDvn/items/XSBJAUT4"],"itemData":{"id":5045,"type":"article-journal","abstract":"Anthelmintic resistance (AR) is an ever increasing problem for the sheep industry. Several studies worldwide have investigated reversing the trend of increasing AR and documented evidence for reversion toward susceptibility has been found. The hypothesis that resistance mutations compromise parasite fitness was drawn from this evidence. The aim of this study was to assess whether there were measurable differences in the fitness of Teladorsagia circumcincta isolates depending on their AR status. Four isolates were selected for the trial based on their known resistance status; D and M were multi-drug resistant, and T and W were susceptible to the benzimidazole, levamisole, and macrocyclic lactone anthelmintic classes. A secondary aim was to develop a series of in vitro bioassays for assessing fitness characteristics of parasites. The in vitro assays included; the cold stress test measured the number of third stage larvae (L3) developing from eggs stored at 4 °C for different lengths of time. Larval aging measured the locomotory activity of L3 after storage at 30 °C for different lengths of time. The exsheathment assay measured the exsheathment percentage of L3. Larval Length used length as a proxy for fecundity. The egg hatch assay evaluated egg hatch rate in water at room temperature. All isolates exhibited a decrease in the number of L3 recovered after storage of eggs at 4 °C (p &lt; 0.001). Storage of L3 at 30 °C significantly influenced the ability of L3 to migrate through a 20 µm sieve (p &lt; 0.001), however, there were no differences between isolates (p &gt; 0.05). Exsheathment rate was higher for isolate D in comparison to isolates M and W, and for isolate T compared to isolate W. Isolate W was significantly longer than all other isolates (p &lt; 0.05), whilst isolate M was significantly longer than isolate D (p &lt; 0.05). No significant differences were found between isolates in egg hatch (p &gt; 0.05). Overall, the results do not support differences in fitness associated with anthelmintic resistance status, even though differences were seen between the isolates for some assays. This suggests there is considerable variation in fitness parameters between isolates, making it difficult to determine whether resistance genotypes come with lower fitness.","container-title":"Veterinary Parasitology","DOI":"10.1016/j.vetpar.2022.109791","ISSN":"0304-4017","journalAbbreviation":"Veterinary Parasitology","page":"109791","source":"ScienceDirect","title":"&lt;i&gt;In vitro&lt;/i&gt; evaluation of fitness parameters for isolates of &lt;i&gt;Teladorsagia circumcincta&lt;/i&gt; resistant and susceptible to multiple anthelmintic classes","volume":"310","author":[{"family":"Hamilton","given":"Kyra M."},{"family":"Waghorn","given":"Tania S."},{"family":"Waal","given":"Theo","non-dropping-particle":"de"},{"family":"Keane","given":"Orla M."},{"family":"Green","given":"Peter"},{"family":"Leathwick","given":"Dave M."}],"issued":{"date-parts":[["2022",10,1]]}}},{"id":3851,"uris":["http://zotero.org/users/local/NciqjDvn/items/DU6UE2MQ"],"itemData":{"id":3851,"type":"article-journal","abstract":"Maintaining production and economic viability in the face of resistance to multiple anthelmintic actives is a challenge for farmers in many countries. In this situation, most farmers in New Zealand rely on the use of combination products, containing multiple actives with similar spectra of activity, in order to maintain control. However, there are concerns that use of combinations, once resistance has already developed to the individual actives, could rapidly lead to complete failure of all actives. This study followed seven farms, previously diagnosed with resistance to at least two classes of anthelmintic, which were implementing a tailored programme of ‘best practice parasite management’. The aim was to ascertain whether the programmes, which included the almost exclusive use of combination anthelmintics, were able to prevent resistance from developing further. Strategies implemented on each farm varied, but had consistent underlying principles i.e. to avoid over-use of anthelmintics; to minimise parasite challenge to susceptible stock; to maintain refugia of susceptibility and to ensure that only effective anthelmintics were used. Annual faecal egg count reduction tests (FECRT) were undertaken in lambs on all farms to monitor anthelmintic efficacy over 5 years. The efficacy of albendazole, ivermectin and levamisole was calculated and the changes in efficacy against Teladorsagia circumcincta assessed. Overall, there was a significant improvement in the effectiveness of both levamisole and ivermectin against T. circumcincta, and a positive but non-significant trend in efficacy of albendazole, i.e. there was evidence for reversion towards susceptibility. Hence, the almost exclusive use of combination anthelmintics, integrated with other resistance management strategies, did not result in further resistance development despite all farms exhibiting resistance to multiple actives at the outset. What-is-more, the measured increases in anthelmintic efficacy suggests that adoption of best practice management strategies may extend the useful life of anthelmintics even after resistance has been diagnosed.","container-title":"International Journal for Parasitology: Drugs and Drug Resistance","DOI":"10.1016/j.ijpddr.2015.01.001","ISSN":"2211-3207","issue":"1","journalAbbreviation":"International Journal for Parasitology: Drugs and Drug Resistance","language":"en","page":"9-15","source":"ScienceDirect","title":"Evidence for reversion towards anthelmintic susceptibility in &lt;i&gt;Teladorsagia circumcincta&lt;/i&gt; in response to resistance management programmes","volume":"5","author":[{"family":"Leathwick","given":"Dave M."},{"family":"Ganesh","given":"Siva"},{"family":"Waghorn","given":"Tania S."}],"issued":{"date-parts":[["2015",4,1]]}}}],"schema":"https://github.com/citation-style-language/schema/raw/master/csl-citation.json"} </w:instrText>
      </w:r>
      <w:r w:rsidR="00AC49ED" w:rsidRPr="00883FC0">
        <w:rPr>
          <w:rFonts w:ascii="Arial" w:eastAsia="Times New Roman" w:hAnsi="Arial" w:cs="Arial"/>
          <w:sz w:val="24"/>
          <w:szCs w:val="24"/>
          <w:lang w:val="en-US" w:eastAsia="fr-FR"/>
        </w:rPr>
        <w:fldChar w:fldCharType="separate"/>
      </w:r>
      <w:r w:rsidR="00AC49ED" w:rsidRPr="00883FC0">
        <w:rPr>
          <w:rFonts w:ascii="Arial" w:hAnsi="Arial" w:cs="Arial"/>
          <w:sz w:val="24"/>
          <w:szCs w:val="24"/>
          <w:lang w:val="en-US"/>
        </w:rPr>
        <w:t>(Hamilton et al., 2022; Leathwick et al., 2015)</w:t>
      </w:r>
      <w:r w:rsidR="00AC49ED" w:rsidRPr="00883FC0">
        <w:rPr>
          <w:rFonts w:ascii="Arial" w:eastAsia="Times New Roman" w:hAnsi="Arial" w:cs="Arial"/>
          <w:sz w:val="24"/>
          <w:szCs w:val="24"/>
          <w:lang w:val="en-US" w:eastAsia="fr-FR"/>
        </w:rPr>
        <w:fldChar w:fldCharType="end"/>
      </w:r>
      <w:r w:rsidR="00AC49ED" w:rsidRPr="00883FC0">
        <w:rPr>
          <w:rFonts w:ascii="Arial" w:eastAsia="Times New Roman" w:hAnsi="Arial" w:cs="Arial"/>
          <w:sz w:val="24"/>
          <w:szCs w:val="24"/>
          <w:lang w:val="en-US" w:eastAsia="fr-FR"/>
        </w:rPr>
        <w:t xml:space="preserve">. </w:t>
      </w:r>
      <w:bookmarkEnd w:id="48"/>
      <w:r w:rsidR="00AC49ED" w:rsidRPr="00883FC0">
        <w:rPr>
          <w:rFonts w:ascii="Arial" w:eastAsia="Times New Roman" w:hAnsi="Arial" w:cs="Arial"/>
          <w:sz w:val="24"/>
          <w:szCs w:val="24"/>
          <w:lang w:val="en-US" w:eastAsia="fr-FR"/>
        </w:rPr>
        <w:t xml:space="preserve">Consequently, ibex </w:t>
      </w:r>
      <w:r w:rsidR="00972C2A" w:rsidRPr="00883FC0">
        <w:rPr>
          <w:rFonts w:ascii="Arial" w:eastAsia="Times New Roman" w:hAnsi="Arial" w:cs="Arial"/>
          <w:sz w:val="24"/>
          <w:szCs w:val="24"/>
          <w:lang w:val="en-US" w:eastAsia="fr-FR"/>
        </w:rPr>
        <w:t>may</w:t>
      </w:r>
      <w:r w:rsidR="00AC49ED" w:rsidRPr="00883FC0">
        <w:rPr>
          <w:rFonts w:ascii="Arial" w:eastAsia="Times New Roman" w:hAnsi="Arial" w:cs="Arial"/>
          <w:sz w:val="24"/>
          <w:szCs w:val="24"/>
          <w:lang w:val="en-US" w:eastAsia="fr-FR"/>
        </w:rPr>
        <w:t xml:space="preserve"> maintain benzimidazole-resistant strains for several years even in the absence of selection pressure.</w:t>
      </w:r>
      <w:bookmarkEnd w:id="49"/>
      <w:r w:rsidRPr="00883FC0">
        <w:rPr>
          <w:rFonts w:ascii="Arial" w:hAnsi="Arial" w:cs="Arial"/>
          <w:sz w:val="24"/>
          <w:szCs w:val="24"/>
          <w:lang w:val="en-GB"/>
        </w:rPr>
        <w:t xml:space="preserve"> In addition, the position of resistant mutant strains detected at the periphery of haplotype networks (</w:t>
      </w:r>
      <w:r w:rsidR="005A0760" w:rsidRPr="00883FC0">
        <w:rPr>
          <w:rFonts w:ascii="Arial" w:hAnsi="Arial" w:cs="Arial"/>
          <w:sz w:val="24"/>
          <w:szCs w:val="24"/>
          <w:lang w:val="en-GB"/>
        </w:rPr>
        <w:t>Figure 3</w:t>
      </w:r>
      <w:r w:rsidRPr="00883FC0">
        <w:rPr>
          <w:rFonts w:ascii="Arial" w:hAnsi="Arial" w:cs="Arial"/>
          <w:sz w:val="24"/>
          <w:szCs w:val="24"/>
          <w:lang w:val="en-GB"/>
        </w:rPr>
        <w:t>) support</w:t>
      </w:r>
      <w:r w:rsidR="00B20604" w:rsidRPr="00883FC0">
        <w:rPr>
          <w:rFonts w:ascii="Arial" w:hAnsi="Arial" w:cs="Arial"/>
          <w:sz w:val="24"/>
          <w:szCs w:val="24"/>
          <w:lang w:val="en-GB"/>
        </w:rPr>
        <w:t xml:space="preserve">s </w:t>
      </w:r>
      <w:r w:rsidRPr="00883FC0">
        <w:rPr>
          <w:rFonts w:ascii="Arial" w:hAnsi="Arial" w:cs="Arial"/>
          <w:sz w:val="24"/>
          <w:szCs w:val="24"/>
          <w:lang w:val="en-GB"/>
        </w:rPr>
        <w:t>the lack of benzimidazole resistant reversion</w:t>
      </w:r>
      <w:r w:rsidR="00B20604" w:rsidRPr="00883FC0">
        <w:rPr>
          <w:rFonts w:ascii="Arial" w:hAnsi="Arial" w:cs="Arial"/>
          <w:sz w:val="24"/>
          <w:szCs w:val="24"/>
          <w:lang w:val="en-GB"/>
        </w:rPr>
        <w:t>s</w:t>
      </w:r>
      <w:r w:rsidRPr="00883FC0">
        <w:rPr>
          <w:rFonts w:ascii="Arial" w:hAnsi="Arial" w:cs="Arial"/>
          <w:sz w:val="24"/>
          <w:szCs w:val="24"/>
          <w:lang w:val="en-GB"/>
        </w:rPr>
        <w:t xml:space="preserve"> </w:t>
      </w:r>
      <w:r w:rsidR="00C06FFA" w:rsidRPr="00883FC0">
        <w:rPr>
          <w:rFonts w:ascii="Arial" w:hAnsi="Arial" w:cs="Arial"/>
          <w:sz w:val="24"/>
          <w:szCs w:val="24"/>
          <w:lang w:val="en-GB"/>
        </w:rPr>
        <w:t>and relatively recent selection of benzimidazole resistance. The recent selection of resistance could result from the</w:t>
      </w:r>
      <w:r w:rsidR="00A36BEF" w:rsidRPr="00883FC0">
        <w:rPr>
          <w:rFonts w:ascii="Arial" w:hAnsi="Arial" w:cs="Arial"/>
          <w:sz w:val="24"/>
          <w:szCs w:val="24"/>
          <w:lang w:val="en-GB"/>
        </w:rPr>
        <w:t xml:space="preserve"> repeated use of benzimidazole and </w:t>
      </w:r>
      <w:r w:rsidR="00102B5D" w:rsidRPr="00102B5D">
        <w:rPr>
          <w:rFonts w:ascii="Arial" w:hAnsi="Arial" w:cs="Arial"/>
          <w:sz w:val="24"/>
          <w:szCs w:val="24"/>
          <w:highlight w:val="yellow"/>
          <w:lang w:val="en-GB"/>
        </w:rPr>
        <w:t>possibly</w:t>
      </w:r>
      <w:r w:rsidR="00A36BEF" w:rsidRPr="00883FC0">
        <w:rPr>
          <w:rFonts w:ascii="Arial" w:hAnsi="Arial" w:cs="Arial"/>
          <w:sz w:val="24"/>
          <w:szCs w:val="24"/>
          <w:lang w:val="en-GB"/>
        </w:rPr>
        <w:t xml:space="preserve"> from the</w:t>
      </w:r>
      <w:r w:rsidR="00C06FFA" w:rsidRPr="00883FC0">
        <w:rPr>
          <w:rFonts w:ascii="Arial" w:hAnsi="Arial" w:cs="Arial"/>
          <w:sz w:val="24"/>
          <w:szCs w:val="24"/>
          <w:lang w:val="en-GB"/>
        </w:rPr>
        <w:t xml:space="preserve"> presence of anthelmintic drug residues in the environment which maintain a selection pressure for gastro-intestinal nematodes (</w:t>
      </w:r>
      <w:proofErr w:type="spellStart"/>
      <w:r w:rsidR="00C06FFA" w:rsidRPr="00883FC0">
        <w:rPr>
          <w:rFonts w:ascii="Arial" w:hAnsi="Arial" w:cs="Arial"/>
          <w:sz w:val="24"/>
          <w:szCs w:val="24"/>
          <w:lang w:val="en-GB"/>
        </w:rPr>
        <w:t>Dimunová</w:t>
      </w:r>
      <w:proofErr w:type="spellEnd"/>
      <w:r w:rsidR="00C06FFA" w:rsidRPr="00883FC0">
        <w:rPr>
          <w:rFonts w:ascii="Arial" w:hAnsi="Arial" w:cs="Arial"/>
          <w:sz w:val="24"/>
          <w:szCs w:val="24"/>
          <w:lang w:val="en-GB"/>
        </w:rPr>
        <w:t xml:space="preserve"> et al., 2022)</w:t>
      </w:r>
      <w:r w:rsidRPr="00883FC0">
        <w:rPr>
          <w:rFonts w:ascii="Arial" w:hAnsi="Arial" w:cs="Arial"/>
          <w:sz w:val="24"/>
          <w:szCs w:val="24"/>
          <w:lang w:val="en-GB"/>
        </w:rPr>
        <w:t>.</w:t>
      </w:r>
    </w:p>
    <w:p w14:paraId="45DDC7EA" w14:textId="067F73E4" w:rsidR="003E01B7" w:rsidRPr="00883FC0" w:rsidRDefault="003E01B7" w:rsidP="00095479">
      <w:pPr>
        <w:spacing w:after="0" w:line="360" w:lineRule="auto"/>
        <w:ind w:firstLine="360"/>
        <w:jc w:val="both"/>
        <w:rPr>
          <w:rFonts w:ascii="Arial" w:hAnsi="Arial" w:cs="Arial"/>
          <w:sz w:val="24"/>
          <w:szCs w:val="24"/>
          <w:lang w:val="en-US"/>
        </w:rPr>
      </w:pPr>
      <w:r w:rsidRPr="00883FC0">
        <w:rPr>
          <w:rFonts w:ascii="Arial" w:hAnsi="Arial" w:cs="Arial"/>
          <w:sz w:val="24"/>
          <w:szCs w:val="24"/>
          <w:lang w:val="en-GB"/>
        </w:rPr>
        <w:t xml:space="preserve">The 5 nematode species studied seemed to have different selection dynamics which may reflect </w:t>
      </w:r>
      <w:r w:rsidR="00286F0B" w:rsidRPr="00286F0B">
        <w:rPr>
          <w:rFonts w:ascii="Arial" w:hAnsi="Arial" w:cs="Arial"/>
          <w:sz w:val="24"/>
          <w:szCs w:val="24"/>
          <w:highlight w:val="yellow"/>
          <w:lang w:val="en-GB"/>
        </w:rPr>
        <w:t>their</w:t>
      </w:r>
      <w:r w:rsidR="00286F0B">
        <w:rPr>
          <w:rFonts w:ascii="Arial" w:hAnsi="Arial" w:cs="Arial"/>
          <w:sz w:val="24"/>
          <w:szCs w:val="24"/>
          <w:lang w:val="en-GB"/>
        </w:rPr>
        <w:t xml:space="preserve"> </w:t>
      </w:r>
      <w:r w:rsidRPr="00883FC0">
        <w:rPr>
          <w:rFonts w:ascii="Arial" w:hAnsi="Arial" w:cs="Arial"/>
          <w:sz w:val="24"/>
          <w:szCs w:val="24"/>
          <w:lang w:val="en-GB"/>
        </w:rPr>
        <w:t xml:space="preserve">life history traits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{"citationID":"a2kfpc2rvi4","properties":{"formattedCitation":"(Redman et al., 2015)","plainCitation":"(Redman et al., 2015)","noteIndex":0},"citationItems":[{"id":2897,"uris":["http://zotero.org/users/local/NciqjDvn/items/CCTNKS44"],"itemData":{"id":2897,"type":"article-journal","abstract":"Anthelmintic resistance is a major problem for the control of parasitic nematodes of livestock and of growing concern for human parasite control. However, there is little understanding of how resistance arises and spreads or of the “genetic signature” of selection for this group of important pathogens. We have investigated these questions in the system for which anthelmintic resistance is most advanced; benzimidazole resistance in the sheep parasites Haemonchus contortus and Teladorsagia circumcincta. Population genetic analysis with neutral microsatellite markers reveals that T. circumcincta has higher genetic diversity but lower genetic differentiation between farms than H. contortus in the UK. We propose that this is due to epidemiological differences between the two parasites resulting in greater seasonal bottlenecking of H. contortus. There is a remarkably high level of resistance haplotype diversity in both parasites compared with drug resistance studies in other eukaryotic systems. Our analysis suggests a minimum of four independent origins of resistance mutations on just seven farms for H. contortus, and even more for T. circumincta. Both hard and soft selective sweeps have occurred with striking differences between individual farms. The sweeps are generally softer for T. circumcincta than H. contortus, consistent with its higher level of genetic diversity and consequent greater availability of new mutations. We propose a model in which multiple independent resistance mutations recurrently arise and spread by migration to explain the widespread occurrence of resistance in these parasites. Finally, in spite of the complex haplotypic diversity, we show that selection can be detected at the target locus using simple measures of genetic diversity and departures from neutrality. This work has important implications for the application of genome-wide approaches to identify new anthelmintic resistance loci and the likelihood of anthelmintic resistance emerging as selection pressure is increased in human soil-transmitted nematodes by community wide treatment programs.","container-title":"PLOS Neglected Tropical Diseases","DOI":"10.1371/journal.pntd.0003494","ISSN":"1935-2735","issue":"2","journalAbbreviation":"PLOS Neglected Tropical Diseases","language":"en","note":"publisher: Public Library of Science","page":"e0003494","source":"PLoS Journals","title":"The emergence of resistance to the benzimidazole anthlemintics in parasitic nematodes of livestock is characterised by multiple independent hard and soft selective sweeps","volume":"9","author":[{"family":"Redman","given":"Elizabeth"},{"family":"Whitelaw","given":"Fiona"},{"family":"Tait","given":"Andrew"},{"family":"Burgess","given":"Charlotte"},{"family":"Bartley","given":"Yvonne"},{"family":"Skuce","given":"Philip John"},{"family":"Jackson","given":"Frank"},{"family":"Gilleard","given":"John Stuart"}],"issued":{"date-parts":[["2015",2,6]]}}}],"schema":"https://github.com/citation-style-language/schema/raw/master/csl-citation.json"}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(Redman et al., 2015)</w:t>
      </w:r>
      <w:r w:rsidRPr="00883FC0">
        <w:rPr>
          <w:rFonts w:ascii="Arial" w:hAnsi="Arial" w:cs="Arial"/>
          <w:sz w:val="24"/>
          <w:szCs w:val="24"/>
          <w:lang w:val="en-GB"/>
        </w:rPr>
        <w:fldChar w:fldCharType="end"/>
      </w:r>
      <w:r w:rsidRPr="00883FC0">
        <w:rPr>
          <w:rFonts w:ascii="Arial" w:hAnsi="Arial" w:cs="Arial"/>
          <w:sz w:val="24"/>
          <w:szCs w:val="24"/>
          <w:lang w:val="en-GB"/>
        </w:rPr>
        <w:t xml:space="preserve">. In fact, we detected no resistant allele in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vitrinus</w:t>
      </w:r>
      <w:r w:rsidRPr="00883FC0">
        <w:rPr>
          <w:rFonts w:ascii="Arial" w:hAnsi="Arial" w:cs="Arial"/>
          <w:sz w:val="24"/>
          <w:szCs w:val="24"/>
          <w:lang w:val="en-GB"/>
        </w:rPr>
        <w:t xml:space="preserve"> and conversely, the proportion of benzimidazole resistant strains of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axei</w:t>
      </w:r>
      <w:r w:rsidRPr="00883FC0">
        <w:rPr>
          <w:rFonts w:ascii="Arial" w:hAnsi="Arial" w:cs="Arial"/>
          <w:sz w:val="24"/>
          <w:szCs w:val="24"/>
          <w:lang w:val="en-GB"/>
        </w:rPr>
        <w:t xml:space="preserve"> and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colubriformis</w:t>
      </w:r>
      <w:r w:rsidRPr="00883FC0">
        <w:rPr>
          <w:rFonts w:ascii="Arial" w:hAnsi="Arial" w:cs="Arial"/>
          <w:sz w:val="24"/>
          <w:szCs w:val="24"/>
          <w:lang w:val="en-GB"/>
        </w:rPr>
        <w:t xml:space="preserve"> were high in sheep</w:t>
      </w:r>
      <w:r w:rsidR="00095479" w:rsidRPr="00883FC0">
        <w:rPr>
          <w:rFonts w:ascii="Arial" w:hAnsi="Arial" w:cs="Arial"/>
          <w:sz w:val="24"/>
          <w:szCs w:val="24"/>
          <w:lang w:val="en-GB"/>
        </w:rPr>
        <w:t xml:space="preserve">, i.e., between </w:t>
      </w:r>
      <w:r w:rsidR="002017A0" w:rsidRPr="00883FC0">
        <w:rPr>
          <w:rFonts w:ascii="Arial" w:hAnsi="Arial" w:cs="Arial"/>
          <w:sz w:val="24"/>
          <w:szCs w:val="24"/>
          <w:lang w:val="en-GB"/>
        </w:rPr>
        <w:t>40</w:t>
      </w:r>
      <w:r w:rsidR="00095479" w:rsidRPr="00883FC0">
        <w:rPr>
          <w:rFonts w:ascii="Arial" w:hAnsi="Arial" w:cs="Arial"/>
          <w:sz w:val="24"/>
          <w:szCs w:val="24"/>
          <w:lang w:val="en-GB"/>
        </w:rPr>
        <w:t xml:space="preserve">% and </w:t>
      </w:r>
      <w:r w:rsidR="002017A0" w:rsidRPr="00883FC0">
        <w:rPr>
          <w:rFonts w:ascii="Arial" w:hAnsi="Arial" w:cs="Arial"/>
          <w:sz w:val="24"/>
          <w:szCs w:val="24"/>
          <w:lang w:val="en-GB"/>
        </w:rPr>
        <w:t>100</w:t>
      </w:r>
      <w:r w:rsidR="00095479" w:rsidRPr="00883FC0">
        <w:rPr>
          <w:rFonts w:ascii="Arial" w:hAnsi="Arial" w:cs="Arial"/>
          <w:sz w:val="24"/>
          <w:szCs w:val="24"/>
          <w:lang w:val="en-GB"/>
        </w:rPr>
        <w:t>%</w:t>
      </w:r>
      <w:r w:rsidRPr="00883FC0">
        <w:rPr>
          <w:rFonts w:ascii="Arial" w:hAnsi="Arial" w:cs="Arial"/>
          <w:sz w:val="24"/>
          <w:szCs w:val="24"/>
          <w:lang w:val="en-GB"/>
        </w:rPr>
        <w:t xml:space="preserve"> and </w:t>
      </w:r>
      <w:r w:rsidR="00B20604" w:rsidRPr="00883FC0">
        <w:rPr>
          <w:rFonts w:ascii="Arial" w:hAnsi="Arial" w:cs="Arial"/>
          <w:sz w:val="24"/>
          <w:szCs w:val="24"/>
          <w:lang w:val="en-GB"/>
        </w:rPr>
        <w:t>s</w:t>
      </w:r>
      <w:r w:rsidR="00095479" w:rsidRPr="00883FC0">
        <w:rPr>
          <w:rFonts w:ascii="Arial" w:hAnsi="Arial" w:cs="Arial"/>
          <w:sz w:val="24"/>
          <w:szCs w:val="24"/>
          <w:lang w:val="en-GB"/>
        </w:rPr>
        <w:t>lightly</w:t>
      </w:r>
      <w:r w:rsidR="00B20604" w:rsidRPr="00883FC0">
        <w:rPr>
          <w:rFonts w:ascii="Arial" w:hAnsi="Arial" w:cs="Arial"/>
          <w:sz w:val="24"/>
          <w:szCs w:val="24"/>
          <w:lang w:val="en-GB"/>
        </w:rPr>
        <w:t xml:space="preserve"> lower</w:t>
      </w:r>
      <w:r w:rsidRPr="00883FC0">
        <w:rPr>
          <w:rFonts w:ascii="Arial" w:hAnsi="Arial" w:cs="Arial"/>
          <w:sz w:val="24"/>
          <w:szCs w:val="24"/>
          <w:lang w:val="en-GB"/>
        </w:rPr>
        <w:t xml:space="preserve"> in ibex</w:t>
      </w:r>
      <w:r w:rsidR="00095479" w:rsidRPr="00883FC0">
        <w:rPr>
          <w:rFonts w:ascii="Arial" w:hAnsi="Arial" w:cs="Arial"/>
          <w:sz w:val="24"/>
          <w:szCs w:val="24"/>
          <w:lang w:val="en-GB"/>
        </w:rPr>
        <w:t xml:space="preserve">, i.e., </w:t>
      </w:r>
      <w:r w:rsidR="00C14EB3" w:rsidRPr="00883FC0">
        <w:rPr>
          <w:rFonts w:ascii="Arial" w:hAnsi="Arial" w:cs="Arial"/>
          <w:sz w:val="24"/>
          <w:szCs w:val="24"/>
          <w:lang w:val="en-GB"/>
        </w:rPr>
        <w:t>33</w:t>
      </w:r>
      <w:r w:rsidR="00095479" w:rsidRPr="00883FC0">
        <w:rPr>
          <w:rFonts w:ascii="Arial" w:hAnsi="Arial" w:cs="Arial"/>
          <w:sz w:val="24"/>
          <w:szCs w:val="24"/>
          <w:lang w:val="en-GB"/>
        </w:rPr>
        <w:t>-</w:t>
      </w:r>
      <w:r w:rsidR="00C14EB3" w:rsidRPr="00883FC0">
        <w:rPr>
          <w:rFonts w:ascii="Arial" w:hAnsi="Arial" w:cs="Arial"/>
          <w:sz w:val="24"/>
          <w:szCs w:val="24"/>
          <w:lang w:val="en-GB"/>
        </w:rPr>
        <w:t>100</w:t>
      </w:r>
      <w:r w:rsidR="00095479" w:rsidRPr="00883FC0">
        <w:rPr>
          <w:rFonts w:ascii="Arial" w:hAnsi="Arial" w:cs="Arial"/>
          <w:sz w:val="24"/>
          <w:szCs w:val="24"/>
          <w:lang w:val="en-GB"/>
        </w:rPr>
        <w:t>%</w:t>
      </w:r>
      <w:r w:rsidRPr="00883FC0">
        <w:rPr>
          <w:rFonts w:ascii="Arial" w:hAnsi="Arial" w:cs="Arial"/>
          <w:sz w:val="24"/>
          <w:szCs w:val="24"/>
          <w:lang w:val="en-GB"/>
        </w:rPr>
        <w:t xml:space="preserve"> (</w:t>
      </w:r>
      <w:r w:rsidR="00577DBD" w:rsidRPr="00883FC0">
        <w:rPr>
          <w:rFonts w:ascii="Arial" w:hAnsi="Arial" w:cs="Arial"/>
          <w:sz w:val="24"/>
          <w:szCs w:val="24"/>
          <w:lang w:val="en-GB"/>
        </w:rPr>
        <w:t>Figure 2</w:t>
      </w:r>
      <w:r w:rsidRPr="00883FC0">
        <w:rPr>
          <w:rFonts w:ascii="Arial" w:hAnsi="Arial" w:cs="Arial"/>
          <w:sz w:val="24"/>
          <w:szCs w:val="24"/>
          <w:lang w:val="en-GB"/>
        </w:rPr>
        <w:t xml:space="preserve">c). </w:t>
      </w:r>
      <w:r w:rsidR="00095479" w:rsidRPr="00883FC0">
        <w:rPr>
          <w:rFonts w:ascii="Arial" w:hAnsi="Arial" w:cs="Arial"/>
          <w:sz w:val="24"/>
          <w:szCs w:val="24"/>
          <w:lang w:val="en-GB"/>
        </w:rPr>
        <w:t xml:space="preserve">These results are </w:t>
      </w:r>
      <w:r w:rsidR="00102B5D" w:rsidRPr="00102B5D">
        <w:rPr>
          <w:rFonts w:ascii="Arial" w:hAnsi="Arial" w:cs="Arial"/>
          <w:sz w:val="24"/>
          <w:szCs w:val="24"/>
          <w:highlight w:val="yellow"/>
          <w:lang w:val="en-GB"/>
        </w:rPr>
        <w:t>consistent</w:t>
      </w:r>
      <w:r w:rsidR="00095479" w:rsidRPr="00883FC0">
        <w:rPr>
          <w:rFonts w:ascii="Arial" w:hAnsi="Arial" w:cs="Arial"/>
          <w:sz w:val="24"/>
          <w:szCs w:val="24"/>
          <w:lang w:val="en-GB"/>
        </w:rPr>
        <w:t xml:space="preserve"> with observations in the literature. Strains of </w:t>
      </w:r>
      <w:r w:rsidR="00095479" w:rsidRPr="00286F0B">
        <w:rPr>
          <w:rFonts w:ascii="Arial" w:hAnsi="Arial" w:cs="Arial"/>
          <w:i/>
          <w:iCs/>
          <w:sz w:val="24"/>
          <w:szCs w:val="24"/>
          <w:lang w:val="en-GB"/>
        </w:rPr>
        <w:t>Trichostrongylus vitrinus</w:t>
      </w:r>
      <w:r w:rsidR="00095479" w:rsidRPr="00883FC0">
        <w:rPr>
          <w:rFonts w:ascii="Arial" w:hAnsi="Arial" w:cs="Arial"/>
          <w:sz w:val="24"/>
          <w:szCs w:val="24"/>
          <w:lang w:val="en-GB"/>
        </w:rPr>
        <w:t xml:space="preserve"> resistant to benzimidazoles were also rare in other studies of sheep farms, e.g., in the UK</w:t>
      </w:r>
      <w:r w:rsidRPr="00883FC0">
        <w:rPr>
          <w:rFonts w:ascii="Arial" w:hAnsi="Arial" w:cs="Arial"/>
          <w:sz w:val="24"/>
          <w:szCs w:val="24"/>
          <w:lang w:val="en-GB"/>
        </w:rPr>
        <w:t xml:space="preserve"> (</w:t>
      </w:r>
      <w:r w:rsidR="00693DAF" w:rsidRPr="00883FC0">
        <w:rPr>
          <w:rFonts w:ascii="Arial" w:hAnsi="Arial" w:cs="Arial"/>
          <w:sz w:val="24"/>
          <w:szCs w:val="24"/>
          <w:lang w:val="en-GB"/>
        </w:rPr>
        <w:fldChar w:fldCharType="begin"/>
      </w:r>
      <w:r w:rsidR="001C5C07" w:rsidRPr="00883FC0">
        <w:rPr>
          <w:rFonts w:ascii="Arial" w:hAnsi="Arial" w:cs="Arial"/>
          <w:sz w:val="24"/>
          <w:szCs w:val="24"/>
          <w:lang w:val="en-GB"/>
        </w:rPr>
        <w:instrText xml:space="preserve"> ADDIN ZOTERO_ITEM CSL_CITATION {"citationID":"dftuhlVY","properties":{"formattedCitation":"(Avramenko et al., 2019)","plainCitation":"(Avramenko et al., 2019)","dontUpdate":true,"noteIndex":0},"citationItems":[{"id":578,"uris":["http://zotero.org/users/local/NciqjDvn/items/NXNZT3CS"],"itemData":{"id":578,"type":"article-journal","abstract":"Parasitic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00693DAF" w:rsidRPr="00883FC0">
        <w:rPr>
          <w:rFonts w:ascii="Arial" w:hAnsi="Arial" w:cs="Arial"/>
          <w:sz w:val="24"/>
          <w:szCs w:val="24"/>
          <w:lang w:val="en-GB"/>
        </w:rPr>
        <w:fldChar w:fldCharType="separate"/>
      </w:r>
      <w:r w:rsidR="00991FDE" w:rsidRPr="00883FC0">
        <w:rPr>
          <w:rFonts w:ascii="Arial" w:hAnsi="Arial" w:cs="Arial"/>
          <w:sz w:val="24"/>
          <w:lang w:val="en-US"/>
        </w:rPr>
        <w:t>Avramenko et al., 2019</w:t>
      </w:r>
      <w:r w:rsidR="00693DAF" w:rsidRPr="00883FC0">
        <w:rPr>
          <w:rFonts w:ascii="Arial" w:hAnsi="Arial" w:cs="Arial"/>
          <w:sz w:val="24"/>
          <w:szCs w:val="24"/>
          <w:lang w:val="en-GB"/>
        </w:rPr>
        <w:fldChar w:fldCharType="end"/>
      </w:r>
      <w:r w:rsidR="00095479" w:rsidRPr="00883FC0">
        <w:rPr>
          <w:rFonts w:ascii="Arial" w:hAnsi="Arial" w:cs="Arial"/>
          <w:sz w:val="24"/>
          <w:szCs w:val="24"/>
          <w:lang w:val="en-GB"/>
        </w:rPr>
        <w:t>)</w:t>
      </w:r>
      <w:r w:rsidR="006B61CA" w:rsidRPr="00883FC0">
        <w:rPr>
          <w:rFonts w:ascii="Arial" w:hAnsi="Arial" w:cs="Arial"/>
          <w:sz w:val="24"/>
          <w:szCs w:val="24"/>
          <w:lang w:val="en-GB"/>
        </w:rPr>
        <w:t>,</w:t>
      </w:r>
      <w:r w:rsidR="002C576C" w:rsidRPr="00883FC0">
        <w:rPr>
          <w:rFonts w:ascii="Arial" w:hAnsi="Arial" w:cs="Arial"/>
          <w:sz w:val="24"/>
          <w:szCs w:val="24"/>
          <w:lang w:val="en-GB"/>
        </w:rPr>
        <w:t xml:space="preserve"> and</w:t>
      </w:r>
      <w:r w:rsidR="00693DAF" w:rsidRPr="00883FC0">
        <w:rPr>
          <w:rFonts w:ascii="Arial" w:hAnsi="Arial" w:cs="Arial"/>
          <w:sz w:val="24"/>
          <w:szCs w:val="24"/>
          <w:lang w:val="en-GB"/>
        </w:rPr>
        <w:t xml:space="preserve"> in Canada </w:t>
      </w:r>
      <w:r w:rsidR="00095479" w:rsidRPr="00883FC0">
        <w:rPr>
          <w:rFonts w:ascii="Arial" w:hAnsi="Arial" w:cs="Arial"/>
          <w:sz w:val="24"/>
          <w:szCs w:val="24"/>
          <w:lang w:val="en-GB"/>
        </w:rPr>
        <w:t>(</w:t>
      </w:r>
      <w:r w:rsidR="00693DAF" w:rsidRPr="00883FC0">
        <w:rPr>
          <w:rFonts w:ascii="Arial" w:hAnsi="Arial" w:cs="Arial"/>
          <w:sz w:val="24"/>
          <w:szCs w:val="24"/>
          <w:lang w:val="en-GB"/>
        </w:rPr>
        <w:fldChar w:fldCharType="begin"/>
      </w:r>
      <w:r w:rsidR="00A36BEF" w:rsidRPr="00883FC0">
        <w:rPr>
          <w:rFonts w:ascii="Arial" w:hAnsi="Arial" w:cs="Arial"/>
          <w:sz w:val="24"/>
          <w:szCs w:val="24"/>
          <w:lang w:val="en-GB"/>
        </w:rPr>
        <w:instrText xml:space="preserve"> ADDIN ZOTERO_ITEM CSL_CITATION {"citationID":"c3xGN3hj","properties":{"formattedCitation":"(Queiroz et al., 2020)","plainCitation":"(Queiroz et al., 2020)","dontUpdate":true,"noteIndex":0},"citationItems":[{"id":2508,"uris":["http://zotero.org/users/local/NciqjDvn/items/CU6ZDBXG"],"itemData":{"id":2508,"type":"article-journal","abstract":"(300 words)\nA lack of quantitative information on the species composition of parasite communities present in fecal samples is a major limiting factor for the sensitivity, accuracy and interpretation of the diagnostic tests commonly used to assess anthelmintic efficacy and resistance. In this paper, we investigate the ability of ITS-2 rDNA nemabiome metabarcoding to enhance fecal egg count reduction testing by providing information on the effect of drug treatments on individual parasite species. Application of ITS-2 rDNA nemabiome metabarcoding to fecal samples from ewes from over 90 flocks across western Canada revealed high gastrointestinal nematode infection intensities in many flocks with Haemonchus contortus being the most abundant species followed by Teladorsagia circumcincta and then Trichostrongylus colubriformis. Integration of ITS-2 rDNA nemabiome metabarcoding with pre- and post-treatment fecal egg counting revealed consistently poor efficacy of producer-applied ivermectin and benzimidazole treatments against H. contortus, but much better efficacy against T. circumcincta and T. colubriformis, except for in a small number of flocks. Integration of nemabiome ITS-2 rDNA metabarcoding with Fecal Egg Count Reduction Tests (FECRT), undertaken on farm visits, confirmed that ivermectin and fenbendazole resistance is widespread in H. contortus but is currently less common in T. circumcincta and T. colubriformis in western Canada. FECRT/nemabiome testing did not detect moxidectin resistance in any GIN species but suggested the early emergence of levamisole resistance specifically in T. circumcincta. It also revealed that although poor efficacy to closantel was relatively common, based on total fecal egg counts, this was due to its narrow spectrum of activity rather than the emergence of anthelmintic resistance. This study illustrates the value of ITS-2 rDNA nemabiome metabarcoding to improve fecal egg count resistance testing, perform large-scale anthelmintic resistance surveillance and direct more targeted rational anthelmintic use.","container-title":"International Journal for Parasitology: Drugs and Drug Resistance","DOI":"10.1016/j.ijpddr.2020.09.003","ISSN":"2211-3207","journalAbbreviation":"Int J Parasitol Drugs Drug Resist","language":"en","page":"105-117","source":"ScienceDirect","title":"The use of ITS-2 rDNA nemabiome metabarcoding to enhance anthelmintic resistance diagnosis and surveillance of ovine gastrointestinal nematodes","volume":"14","author":[{"family":"Queiroz","given":"Camila"},{"family":"Levy","given":"Michel"},{"family":"Avramenko","given":"Russell"},{"family":"Redman","given":"Elizabeth"},{"family":"Kearns","given":"Kelsey"},{"family":"Swain","given":"Lana"},{"family":"Silas","given":"Haley"},{"family":"Uehlinger","given":"Fabienne"},{"family":"Gilleard","given":"John S."}],"issued":{"date-parts":[["2020",12,1]]}}}],"schema":"https://github.com/citation-style-language/schema/raw/master/csl-citation.json"} </w:instrText>
      </w:r>
      <w:r w:rsidR="00693DAF" w:rsidRPr="00883FC0">
        <w:rPr>
          <w:rFonts w:ascii="Arial" w:hAnsi="Arial" w:cs="Arial"/>
          <w:sz w:val="24"/>
          <w:szCs w:val="24"/>
          <w:lang w:val="en-GB"/>
        </w:rPr>
        <w:fldChar w:fldCharType="separate"/>
      </w:r>
      <w:r w:rsidR="00991FDE" w:rsidRPr="00883FC0">
        <w:rPr>
          <w:rFonts w:ascii="Arial" w:hAnsi="Arial" w:cs="Arial"/>
          <w:sz w:val="24"/>
          <w:lang w:val="en-US"/>
        </w:rPr>
        <w:t>Queiroz et al., 2020</w:t>
      </w:r>
      <w:r w:rsidR="00693DAF" w:rsidRPr="00883FC0">
        <w:rPr>
          <w:rFonts w:ascii="Arial" w:hAnsi="Arial" w:cs="Arial"/>
          <w:sz w:val="24"/>
          <w:szCs w:val="24"/>
          <w:lang w:val="en-GB"/>
        </w:rPr>
        <w:fldChar w:fldCharType="end"/>
      </w:r>
      <w:r w:rsidR="00693DAF" w:rsidRPr="00883FC0">
        <w:rPr>
          <w:rFonts w:ascii="Arial" w:hAnsi="Arial" w:cs="Arial"/>
          <w:sz w:val="24"/>
          <w:szCs w:val="24"/>
          <w:lang w:val="en-GB"/>
        </w:rPr>
        <w:t>)</w:t>
      </w:r>
      <w:r w:rsidRPr="00883FC0">
        <w:rPr>
          <w:rFonts w:ascii="Arial" w:hAnsi="Arial" w:cs="Arial"/>
          <w:sz w:val="24"/>
          <w:szCs w:val="24"/>
          <w:lang w:val="en-GB"/>
        </w:rPr>
        <w:t xml:space="preserve">. </w:t>
      </w:r>
      <w:r w:rsidR="00095479" w:rsidRPr="00883FC0">
        <w:rPr>
          <w:rFonts w:ascii="Arial" w:hAnsi="Arial" w:cs="Arial"/>
          <w:sz w:val="24"/>
          <w:szCs w:val="24"/>
          <w:lang w:val="en-GB"/>
        </w:rPr>
        <w:t xml:space="preserve">Conversely, higher frequencies of benzimidazole resistance in </w:t>
      </w:r>
      <w:r w:rsidR="00095479" w:rsidRPr="00883FC0">
        <w:rPr>
          <w:rFonts w:ascii="Arial" w:hAnsi="Arial" w:cs="Arial"/>
          <w:i/>
          <w:sz w:val="24"/>
          <w:szCs w:val="24"/>
          <w:lang w:val="en-GB"/>
        </w:rPr>
        <w:t xml:space="preserve">Trichostrongylus axei </w:t>
      </w:r>
      <w:r w:rsidR="00095479" w:rsidRPr="00883FC0">
        <w:rPr>
          <w:rFonts w:ascii="Arial" w:hAnsi="Arial" w:cs="Arial"/>
          <w:sz w:val="24"/>
          <w:szCs w:val="24"/>
          <w:lang w:val="en-GB"/>
        </w:rPr>
        <w:t xml:space="preserve">and </w:t>
      </w:r>
      <w:r w:rsidR="00095479" w:rsidRPr="00883FC0">
        <w:rPr>
          <w:rFonts w:ascii="Arial" w:hAnsi="Arial" w:cs="Arial"/>
          <w:i/>
          <w:sz w:val="24"/>
          <w:szCs w:val="24"/>
          <w:lang w:val="en-GB"/>
        </w:rPr>
        <w:t>Trichostrongylus colubriformis</w:t>
      </w:r>
      <w:r w:rsidR="00095479" w:rsidRPr="00883FC0">
        <w:rPr>
          <w:rFonts w:ascii="Arial" w:hAnsi="Arial" w:cs="Arial"/>
          <w:sz w:val="24"/>
          <w:szCs w:val="24"/>
          <w:lang w:val="en-GB"/>
        </w:rPr>
        <w:t xml:space="preserve"> were already reported in sheep, e.g., in UK</w:t>
      </w:r>
      <w:r w:rsidR="00A77DFC" w:rsidRPr="00883FC0">
        <w:rPr>
          <w:rFonts w:ascii="Arial" w:hAnsi="Arial" w:cs="Arial"/>
          <w:sz w:val="24"/>
          <w:szCs w:val="24"/>
          <w:lang w:val="en-GB"/>
        </w:rPr>
        <w:t xml:space="preserve"> (</w:t>
      </w:r>
      <w:r w:rsidR="00095479" w:rsidRPr="00883FC0">
        <w:rPr>
          <w:rFonts w:ascii="Arial" w:hAnsi="Arial" w:cs="Arial"/>
          <w:i/>
          <w:sz w:val="24"/>
          <w:szCs w:val="24"/>
          <w:lang w:val="en-GB"/>
        </w:rPr>
        <w:t>Trichostrongylus axei</w:t>
      </w:r>
      <w:r w:rsidR="00095479" w:rsidRPr="00883FC0">
        <w:rPr>
          <w:rFonts w:ascii="Arial" w:hAnsi="Arial" w:cs="Arial"/>
          <w:sz w:val="24"/>
          <w:szCs w:val="24"/>
          <w:lang w:val="en-GB"/>
        </w:rPr>
        <w:t xml:space="preserve">: 26-27% and </w:t>
      </w:r>
      <w:r w:rsidR="00095479" w:rsidRPr="00883FC0">
        <w:rPr>
          <w:rFonts w:ascii="Arial" w:hAnsi="Arial" w:cs="Arial"/>
          <w:i/>
          <w:sz w:val="24"/>
          <w:szCs w:val="24"/>
          <w:lang w:val="en-GB"/>
        </w:rPr>
        <w:t>Trichostrongylus colubriformis</w:t>
      </w:r>
      <w:r w:rsidR="00095479" w:rsidRPr="00883FC0">
        <w:rPr>
          <w:rFonts w:ascii="Arial" w:hAnsi="Arial" w:cs="Arial"/>
          <w:sz w:val="24"/>
          <w:szCs w:val="24"/>
          <w:lang w:val="en-GB"/>
        </w:rPr>
        <w:t>: 53-62%</w:t>
      </w:r>
      <w:r w:rsidR="00A77DFC" w:rsidRPr="00883FC0">
        <w:rPr>
          <w:rFonts w:ascii="Arial" w:hAnsi="Arial" w:cs="Arial"/>
          <w:sz w:val="24"/>
          <w:szCs w:val="24"/>
          <w:lang w:val="en-GB"/>
        </w:rPr>
        <w:t>;</w:t>
      </w:r>
      <w:r w:rsidR="00D25A90" w:rsidRPr="00883FC0">
        <w:rPr>
          <w:rFonts w:ascii="Arial" w:hAnsi="Arial" w:cs="Arial"/>
          <w:sz w:val="24"/>
          <w:szCs w:val="24"/>
          <w:lang w:val="en-GB"/>
        </w:rPr>
        <w:t xml:space="preserve"> </w:t>
      </w:r>
      <w:r w:rsidR="00D25A90" w:rsidRPr="00883FC0">
        <w:rPr>
          <w:rFonts w:ascii="Arial" w:hAnsi="Arial" w:cs="Arial"/>
          <w:sz w:val="24"/>
          <w:szCs w:val="24"/>
          <w:lang w:val="en-GB"/>
        </w:rPr>
        <w:fldChar w:fldCharType="begin"/>
      </w:r>
      <w:r w:rsidR="00A36BEF" w:rsidRPr="00883FC0">
        <w:rPr>
          <w:rFonts w:ascii="Arial" w:hAnsi="Arial" w:cs="Arial"/>
          <w:sz w:val="24"/>
          <w:szCs w:val="24"/>
          <w:lang w:val="en-GB"/>
        </w:rPr>
        <w:instrText xml:space="preserve"> ADDIN ZOTERO_ITEM CSL_CITATION {"citationID":"GEizDK3u","properties":{"formattedCitation":"(Avramenko et al., 2019)","plainCitation":"(Avramenko et al., 2019)","dontUpdate":true,"noteIndex":0},"citationItems":[{"id":578,"uris":["http://zotero.org/users/local/NciqjDvn/items/NXNZT3CS"],"itemData":{"id":578,"type":"article-journal","abstract":"Parasitic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S."}],"issued":{"date-parts":[["2019"]]}}}],"schema":"https://github.com/citation-style-language/schema/raw/master/csl-citation.json"} </w:instrText>
      </w:r>
      <w:r w:rsidR="00D25A90" w:rsidRPr="00883FC0">
        <w:rPr>
          <w:rFonts w:ascii="Arial" w:hAnsi="Arial" w:cs="Arial"/>
          <w:sz w:val="24"/>
          <w:szCs w:val="24"/>
          <w:lang w:val="en-GB"/>
        </w:rPr>
        <w:fldChar w:fldCharType="separate"/>
      </w:r>
      <w:r w:rsidR="00991FDE" w:rsidRPr="00883FC0">
        <w:rPr>
          <w:rFonts w:ascii="Arial" w:hAnsi="Arial" w:cs="Arial"/>
          <w:sz w:val="24"/>
          <w:lang w:val="en-GB"/>
        </w:rPr>
        <w:t>Avramenko et al., 2019)</w:t>
      </w:r>
      <w:r w:rsidR="00D25A90" w:rsidRPr="00883FC0">
        <w:rPr>
          <w:rFonts w:ascii="Arial" w:hAnsi="Arial" w:cs="Arial"/>
          <w:sz w:val="24"/>
          <w:szCs w:val="24"/>
          <w:lang w:val="en-GB"/>
        </w:rPr>
        <w:fldChar w:fldCharType="end"/>
      </w:r>
      <w:r w:rsidR="00A77DFC" w:rsidRPr="00883FC0">
        <w:rPr>
          <w:rFonts w:ascii="Arial" w:hAnsi="Arial" w:cs="Arial"/>
          <w:sz w:val="24"/>
          <w:szCs w:val="24"/>
          <w:lang w:val="en-GB"/>
        </w:rPr>
        <w:t>,</w:t>
      </w:r>
      <w:r w:rsidR="00D25A90" w:rsidRPr="00883FC0">
        <w:rPr>
          <w:rFonts w:ascii="Arial" w:hAnsi="Arial" w:cs="Arial"/>
          <w:sz w:val="24"/>
          <w:szCs w:val="24"/>
          <w:lang w:val="en-GB"/>
        </w:rPr>
        <w:t xml:space="preserve"> in Austria </w:t>
      </w:r>
      <w:r w:rsidR="00A77DFC" w:rsidRPr="00883FC0">
        <w:rPr>
          <w:rFonts w:ascii="Arial" w:hAnsi="Arial" w:cs="Arial"/>
          <w:sz w:val="24"/>
          <w:szCs w:val="24"/>
          <w:lang w:val="en-GB"/>
        </w:rPr>
        <w:t>(</w:t>
      </w:r>
      <w:r w:rsidR="00317797" w:rsidRPr="00883FC0">
        <w:rPr>
          <w:rFonts w:ascii="Arial" w:hAnsi="Arial" w:cs="Arial"/>
          <w:i/>
          <w:sz w:val="24"/>
          <w:szCs w:val="24"/>
          <w:lang w:val="en-GB"/>
        </w:rPr>
        <w:t>Trichostrongylus</w:t>
      </w:r>
      <w:r w:rsidR="00D25A90" w:rsidRPr="00883FC0">
        <w:rPr>
          <w:rFonts w:ascii="Arial" w:hAnsi="Arial" w:cs="Arial"/>
          <w:i/>
          <w:sz w:val="24"/>
          <w:szCs w:val="24"/>
          <w:lang w:val="en-GB"/>
        </w:rPr>
        <w:t xml:space="preserve"> colubriformis:</w:t>
      </w:r>
      <w:r w:rsidR="00D25A90" w:rsidRPr="00883FC0">
        <w:rPr>
          <w:rFonts w:ascii="Arial" w:hAnsi="Arial" w:cs="Arial"/>
          <w:sz w:val="24"/>
          <w:szCs w:val="24"/>
          <w:lang w:val="en-GB"/>
        </w:rPr>
        <w:t xml:space="preserve"> 77%-100%</w:t>
      </w:r>
      <w:r w:rsidR="00A77DFC" w:rsidRPr="00883FC0">
        <w:rPr>
          <w:rFonts w:ascii="Arial" w:hAnsi="Arial" w:cs="Arial"/>
          <w:sz w:val="24"/>
          <w:szCs w:val="24"/>
          <w:lang w:val="en-GB"/>
        </w:rPr>
        <w:t>;</w:t>
      </w:r>
      <w:r w:rsidR="00D25A90" w:rsidRPr="00883FC0">
        <w:rPr>
          <w:rFonts w:ascii="Arial" w:hAnsi="Arial" w:cs="Arial"/>
          <w:sz w:val="24"/>
          <w:szCs w:val="24"/>
          <w:lang w:val="en-GB"/>
        </w:rPr>
        <w:t xml:space="preserve"> </w:t>
      </w:r>
      <w:r w:rsidR="00D25A90" w:rsidRPr="00883FC0">
        <w:rPr>
          <w:rFonts w:ascii="Arial" w:hAnsi="Arial" w:cs="Arial"/>
          <w:sz w:val="24"/>
          <w:szCs w:val="24"/>
          <w:lang w:val="en-GB"/>
        </w:rPr>
        <w:fldChar w:fldCharType="begin"/>
      </w:r>
      <w:r w:rsidR="00A36BEF" w:rsidRPr="00883FC0">
        <w:rPr>
          <w:rFonts w:ascii="Arial" w:hAnsi="Arial" w:cs="Arial"/>
          <w:sz w:val="24"/>
          <w:szCs w:val="24"/>
          <w:lang w:val="en-GB"/>
        </w:rPr>
        <w:instrText xml:space="preserve"> ADDIN ZOTERO_ITEM CSL_CITATION {"citationID":"DsgMbYul","properties":{"formattedCitation":"(Hinney et al., 2020)","plainCitation":"(Hinney et al., 2020)","dontUpdate":true,"noteIndex":0},"citationItems":[{"id":3854,"uris":["http://zotero.org/users/local/NciqjDvn/items/4RRZPRMW"],"itemData":{"id":3854,"type":"article-journal","abstract":"Infections of small ruminants with trichostrongyloid nematodes often result in reduced productivity and may be detrimental to the host. Anthelmintic resistance (AR) against most anthelmintic drug classes is now widespread amongst the trichostrongyloids. Baseline establishment, followed by regular monitoring of the level of AR, is necessary for farmers and veterinarians to make informed decisions about parasite management. The detection of single nucleotide polymorphisms (SNPs) is a sensitive method to detect AR against benzimidazoles (BZs), one of the most widely used anthelmintic classes. Alpine transhumance constitutes a special type of pasturing of sheep from many different farms, the aim of this study was to investigate the prevalence of benzimidazole resistance alleles in this particular management system.","container-title":"BMC Veterinary Research","DOI":"10.1186/s12917-020-02353-z","ISSN":"1746-6148","issue":"1","journalAbbreviation":"BMC Vet Res","language":"en","page":"132","source":"Springer Link","title":"High frequency of benzimidazole resistance alleles in trichostrongyloids from Austrian sheep flocks in an alpine transhumance management system","volume":"16","author":[{"family":"Hinney","given":"Barbara"},{"family":"Schoiswohl","given":"Julia"},{"family":"Melville","given":"Lynsey"},{"family":"Ameen","given":"Vahel J."},{"family":"Wille-Piazzai","given":"Walpurga"},{"family":"Bauer","given":"Karl"},{"family":"Joachim","given":"Anja"},{"family":"Krücken","given":"Jürgen"},{"family":"Skuce","given":"Philip J."},{"family":"Krametter-Frötscher","given":"Reinhild"}],"issued":{"date-parts":[["2020",5,11]]}}}],"schema":"https://github.com/citation-style-language/schema/raw/master/csl-citation.json"} </w:instrText>
      </w:r>
      <w:r w:rsidR="00D25A90" w:rsidRPr="00883FC0">
        <w:rPr>
          <w:rFonts w:ascii="Arial" w:hAnsi="Arial" w:cs="Arial"/>
          <w:sz w:val="24"/>
          <w:szCs w:val="24"/>
          <w:lang w:val="en-GB"/>
        </w:rPr>
        <w:fldChar w:fldCharType="separate"/>
      </w:r>
      <w:r w:rsidR="00991FDE" w:rsidRPr="00883FC0">
        <w:rPr>
          <w:rFonts w:ascii="Arial" w:hAnsi="Arial" w:cs="Arial"/>
          <w:sz w:val="24"/>
          <w:lang w:val="en-GB"/>
        </w:rPr>
        <w:t>Hinney et al., 2020)</w:t>
      </w:r>
      <w:r w:rsidR="00D25A90" w:rsidRPr="00883FC0">
        <w:rPr>
          <w:rFonts w:ascii="Arial" w:hAnsi="Arial" w:cs="Arial"/>
          <w:sz w:val="24"/>
          <w:szCs w:val="24"/>
          <w:lang w:val="en-GB"/>
        </w:rPr>
        <w:fldChar w:fldCharType="end"/>
      </w:r>
      <w:r w:rsidR="00A77DFC" w:rsidRPr="00883FC0">
        <w:rPr>
          <w:rFonts w:ascii="Arial" w:hAnsi="Arial" w:cs="Arial"/>
          <w:sz w:val="24"/>
          <w:szCs w:val="24"/>
          <w:lang w:val="en-GB"/>
        </w:rPr>
        <w:t>, or</w:t>
      </w:r>
      <w:r w:rsidR="00D25A90" w:rsidRPr="00883FC0">
        <w:rPr>
          <w:rFonts w:ascii="Arial" w:hAnsi="Arial" w:cs="Arial"/>
          <w:sz w:val="24"/>
          <w:szCs w:val="24"/>
          <w:lang w:val="en-GB"/>
        </w:rPr>
        <w:t xml:space="preserve"> in France, </w:t>
      </w:r>
      <w:r w:rsidR="00A77DFC" w:rsidRPr="00883FC0">
        <w:rPr>
          <w:rFonts w:ascii="Arial" w:hAnsi="Arial" w:cs="Arial"/>
          <w:sz w:val="24"/>
          <w:szCs w:val="24"/>
          <w:lang w:val="en-GB"/>
        </w:rPr>
        <w:t>(</w:t>
      </w:r>
      <w:r w:rsidR="00317797" w:rsidRPr="00883FC0">
        <w:rPr>
          <w:rFonts w:ascii="Arial" w:hAnsi="Arial" w:cs="Arial"/>
          <w:i/>
          <w:sz w:val="24"/>
          <w:szCs w:val="24"/>
          <w:lang w:val="en-GB"/>
        </w:rPr>
        <w:t>Trichostrongylus</w:t>
      </w:r>
      <w:r w:rsidR="00D25A90" w:rsidRPr="00883FC0">
        <w:rPr>
          <w:rFonts w:ascii="Arial" w:hAnsi="Arial" w:cs="Arial"/>
          <w:i/>
          <w:sz w:val="24"/>
          <w:szCs w:val="24"/>
          <w:lang w:val="en-GB"/>
        </w:rPr>
        <w:t xml:space="preserve"> axei</w:t>
      </w:r>
      <w:r w:rsidR="00D25A90" w:rsidRPr="00883FC0">
        <w:rPr>
          <w:rFonts w:ascii="Arial" w:hAnsi="Arial" w:cs="Arial"/>
          <w:sz w:val="24"/>
          <w:szCs w:val="24"/>
          <w:lang w:val="en-GB"/>
        </w:rPr>
        <w:t>: 63%</w:t>
      </w:r>
      <w:r w:rsidR="00A77DFC" w:rsidRPr="00883FC0">
        <w:rPr>
          <w:rFonts w:ascii="Arial" w:hAnsi="Arial" w:cs="Arial"/>
          <w:sz w:val="24"/>
          <w:szCs w:val="24"/>
          <w:lang w:val="en-GB"/>
        </w:rPr>
        <w:t>;</w:t>
      </w:r>
      <w:r w:rsidR="00D25A90" w:rsidRPr="00883FC0">
        <w:rPr>
          <w:rFonts w:ascii="Arial" w:hAnsi="Arial" w:cs="Arial"/>
          <w:sz w:val="24"/>
          <w:szCs w:val="24"/>
          <w:lang w:val="en-GB"/>
        </w:rPr>
        <w:t xml:space="preserve"> </w:t>
      </w:r>
      <w:r w:rsidR="00D25A90" w:rsidRPr="00883FC0">
        <w:rPr>
          <w:rFonts w:ascii="Arial" w:hAnsi="Arial" w:cs="Arial"/>
          <w:sz w:val="24"/>
          <w:szCs w:val="24"/>
          <w:lang w:val="en-GB"/>
        </w:rPr>
        <w:fldChar w:fldCharType="begin"/>
      </w:r>
      <w:r w:rsidR="00A36BEF" w:rsidRPr="00883FC0">
        <w:rPr>
          <w:rFonts w:ascii="Arial" w:hAnsi="Arial" w:cs="Arial"/>
          <w:sz w:val="24"/>
          <w:szCs w:val="24"/>
          <w:lang w:val="en-GB"/>
        </w:rPr>
        <w:instrText xml:space="preserve"> ADDIN ZOTERO_ITEM CSL_CITATION {"citationID":"22Zy1Q7J","properties":{"formattedCitation":"(Palcy et al., 2010)","plainCitation":"(Palcy et al., 2010)","dontUpdate":true,"noteIndex":0},"citationItems":[{"id":4578,"uris":["http://zotero.org/users/local/NciqjDvn/items/AILAPRPP"],"itemData":{"id":4578,"type":"article-journal","abstract":"This is the first report of benzimidazole (BZ) resistance in the nematode Trichostrongylus axei in sheep. Trichostrongylus axei infects several species of herbivores including sheep, cattle and horses, and the emergence of anthelmintic resistance could lead to significant problems in its control. Benzimidazole resistance in two sheep flocks in central France was detected by post-treatment worm counts. The sequencing of a central region of the isotype 1 β-tubulin gene from adult T. axei recovered post-mortem revealed only one, non-synonymous single nucleotide polymorphism at position 200 (Phe200Tyr), which had already been reported for other nematodes. Seven years after BZ treatment ceased, T. axei helminths present were still resistant to BZ suggesting these parasites do not revert to susceptibility to this anthelmintic, even when the selection pressure had been removed for many years. The findings also highlight major changes in the make-up of the nematode burden in sheep flocks that accompanies the emergence of BZ resistance.","container-title":"The Veterinary Journal","DOI":"10.1016/j.tvjl.2008.09.012","ISSN":"1090-0233","issue":"1","journalAbbreviation":"The Veterinary Journal","language":"en","page":"68-74","source":"ScienceDirect","title":"Benzimidazole resistance in &lt;i&gt;Trichostrongylus axei&lt;/i&gt; in sheep: long-term monitoring of affected sheep and genotypic evaluation of the parasite","title-short":"Benzimidazole resistance in Trichostrongylus axei in sheep","volume":"183","author":[{"family":"Palcy","given":"Chrystèle"},{"family":"Silvestre","given":"Anne"},{"family":"Sauve","given":"Christine"},{"family":"Cortet","given":"Jacques"},{"family":"Cabaret","given":"Jacques"}],"issued":{"date-parts":[["2010",1,1]]}}}],"schema":"https://github.com/citation-style-language/schema/raw/master/csl-citation.json"} </w:instrText>
      </w:r>
      <w:r w:rsidR="00D25A90" w:rsidRPr="00883FC0">
        <w:rPr>
          <w:rFonts w:ascii="Arial" w:hAnsi="Arial" w:cs="Arial"/>
          <w:sz w:val="24"/>
          <w:szCs w:val="24"/>
          <w:lang w:val="en-GB"/>
        </w:rPr>
        <w:fldChar w:fldCharType="separate"/>
      </w:r>
      <w:r w:rsidR="00991FDE" w:rsidRPr="00883FC0">
        <w:rPr>
          <w:rFonts w:ascii="Arial" w:hAnsi="Arial" w:cs="Arial"/>
          <w:sz w:val="24"/>
          <w:lang w:val="en-GB"/>
        </w:rPr>
        <w:t>Palcy et al., 2010)</w:t>
      </w:r>
      <w:r w:rsidR="00D25A90"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A77DFC" w:rsidRPr="00883FC0">
        <w:rPr>
          <w:rFonts w:ascii="Arial" w:hAnsi="Arial" w:cs="Arial"/>
          <w:sz w:val="24"/>
          <w:szCs w:val="24"/>
          <w:lang w:val="en-GB"/>
        </w:rPr>
        <w:t xml:space="preserve">Furthermore, we found a low proportion of resistance in </w:t>
      </w:r>
      <w:r w:rsidR="00A77DFC" w:rsidRPr="00883FC0">
        <w:rPr>
          <w:rFonts w:ascii="Arial" w:hAnsi="Arial" w:cs="Arial"/>
          <w:i/>
          <w:sz w:val="24"/>
          <w:szCs w:val="24"/>
          <w:lang w:val="en-GB"/>
        </w:rPr>
        <w:t>Teladorsagia circumcincta</w:t>
      </w:r>
      <w:r w:rsidR="00A77DFC" w:rsidRPr="00883FC0">
        <w:rPr>
          <w:rFonts w:ascii="Arial" w:hAnsi="Arial" w:cs="Arial"/>
          <w:sz w:val="24"/>
          <w:szCs w:val="24"/>
          <w:lang w:val="en-GB"/>
        </w:rPr>
        <w:t xml:space="preserve"> both in sheep and ibex (mean ± standard error of the mean: 6.6 ± 3.5%), in comparison</w:t>
      </w:r>
      <w:r w:rsidR="00102B5D" w:rsidRPr="00102B5D">
        <w:rPr>
          <w:rFonts w:ascii="Arial" w:hAnsi="Arial" w:cs="Arial"/>
          <w:sz w:val="24"/>
          <w:szCs w:val="24"/>
          <w:highlight w:val="yellow"/>
          <w:lang w:val="en-GB"/>
        </w:rPr>
        <w:t>,</w:t>
      </w:r>
      <w:r w:rsidR="00A77DFC" w:rsidRPr="00883FC0">
        <w:rPr>
          <w:rFonts w:ascii="Arial" w:hAnsi="Arial" w:cs="Arial"/>
          <w:sz w:val="24"/>
          <w:szCs w:val="24"/>
          <w:lang w:val="en-GB"/>
        </w:rPr>
        <w:t xml:space="preserve"> for example</w:t>
      </w:r>
      <w:r w:rsidR="00102B5D" w:rsidRPr="00102B5D">
        <w:rPr>
          <w:rFonts w:ascii="Arial" w:hAnsi="Arial" w:cs="Arial"/>
          <w:sz w:val="24"/>
          <w:szCs w:val="24"/>
          <w:highlight w:val="yellow"/>
          <w:lang w:val="en-GB"/>
        </w:rPr>
        <w:t>,</w:t>
      </w:r>
      <w:r w:rsidR="00A77DFC" w:rsidRPr="00883FC0">
        <w:rPr>
          <w:rFonts w:ascii="Arial" w:hAnsi="Arial" w:cs="Arial"/>
          <w:sz w:val="24"/>
          <w:szCs w:val="24"/>
          <w:lang w:val="en-GB"/>
        </w:rPr>
        <w:t xml:space="preserve"> with </w:t>
      </w:r>
      <w:r w:rsidR="00A77DFC" w:rsidRPr="00286F0B">
        <w:rPr>
          <w:rFonts w:ascii="Arial" w:hAnsi="Arial" w:cs="Arial"/>
          <w:i/>
          <w:iCs/>
          <w:sz w:val="24"/>
          <w:szCs w:val="24"/>
          <w:lang w:val="en-GB"/>
        </w:rPr>
        <w:t>Trichostrongylus axei</w:t>
      </w:r>
      <w:r w:rsidR="00A77DFC" w:rsidRPr="00883FC0">
        <w:rPr>
          <w:rFonts w:ascii="Arial" w:hAnsi="Arial" w:cs="Arial"/>
          <w:sz w:val="24"/>
          <w:szCs w:val="24"/>
          <w:lang w:val="en-GB"/>
        </w:rPr>
        <w:t xml:space="preserve"> and </w:t>
      </w:r>
      <w:r w:rsidR="00A77DFC" w:rsidRPr="00286F0B">
        <w:rPr>
          <w:rFonts w:ascii="Arial" w:hAnsi="Arial" w:cs="Arial"/>
          <w:i/>
          <w:iCs/>
          <w:sz w:val="24"/>
          <w:szCs w:val="24"/>
          <w:lang w:val="en-GB"/>
        </w:rPr>
        <w:t>Trichostrongylus colubriformis</w:t>
      </w:r>
      <w:r w:rsidR="00A77DFC" w:rsidRPr="00883FC0">
        <w:rPr>
          <w:rFonts w:ascii="Arial" w:hAnsi="Arial" w:cs="Arial"/>
          <w:sz w:val="24"/>
          <w:szCs w:val="24"/>
          <w:lang w:val="en-GB"/>
        </w:rPr>
        <w:t xml:space="preserve">, (Figure 2c). This contrast with previous results from the literature, where a higher frequency of resistance </w:t>
      </w:r>
      <w:r w:rsidR="00A77DFC" w:rsidRPr="00286F0B">
        <w:rPr>
          <w:rFonts w:ascii="Arial" w:hAnsi="Arial" w:cs="Arial"/>
          <w:sz w:val="24"/>
          <w:szCs w:val="24"/>
          <w:highlight w:val="yellow"/>
          <w:lang w:val="en-GB"/>
        </w:rPr>
        <w:t>allele</w:t>
      </w:r>
      <w:r w:rsidR="00286F0B" w:rsidRPr="00286F0B">
        <w:rPr>
          <w:rFonts w:ascii="Arial" w:hAnsi="Arial" w:cs="Arial"/>
          <w:sz w:val="24"/>
          <w:szCs w:val="24"/>
          <w:highlight w:val="yellow"/>
          <w:lang w:val="en-GB"/>
        </w:rPr>
        <w:t>s</w:t>
      </w:r>
      <w:r w:rsidR="00A77DFC" w:rsidRPr="00883FC0">
        <w:rPr>
          <w:rFonts w:ascii="Arial" w:hAnsi="Arial" w:cs="Arial"/>
          <w:sz w:val="24"/>
          <w:szCs w:val="24"/>
          <w:lang w:val="en-GB"/>
        </w:rPr>
        <w:t xml:space="preserve"> was found for</w:t>
      </w:r>
      <w:r w:rsidRPr="00883FC0">
        <w:rPr>
          <w:rFonts w:ascii="Arial" w:hAnsi="Arial" w:cs="Arial"/>
          <w:sz w:val="24"/>
          <w:szCs w:val="24"/>
          <w:lang w:val="en-US"/>
        </w:rPr>
        <w:t xml:space="preserve"> </w:t>
      </w:r>
      <w:r w:rsidRPr="00883FC0">
        <w:rPr>
          <w:rFonts w:ascii="Arial" w:hAnsi="Arial" w:cs="Arial"/>
          <w:i/>
          <w:sz w:val="24"/>
          <w:szCs w:val="24"/>
          <w:lang w:val="en-US"/>
        </w:rPr>
        <w:t>T</w:t>
      </w:r>
      <w:r w:rsidR="00B20604" w:rsidRPr="00883FC0">
        <w:rPr>
          <w:rFonts w:ascii="Arial" w:hAnsi="Arial" w:cs="Arial"/>
          <w:i/>
          <w:sz w:val="24"/>
          <w:szCs w:val="24"/>
          <w:lang w:val="en-US"/>
        </w:rPr>
        <w:t>eladorsagia</w:t>
      </w:r>
      <w:r w:rsidRPr="00883FC0">
        <w:rPr>
          <w:rFonts w:ascii="Arial" w:hAnsi="Arial" w:cs="Arial"/>
          <w:i/>
          <w:sz w:val="24"/>
          <w:szCs w:val="24"/>
          <w:lang w:val="en-US"/>
        </w:rPr>
        <w:t xml:space="preserve"> circumcincta</w:t>
      </w:r>
      <w:r w:rsidRPr="00883FC0">
        <w:rPr>
          <w:rFonts w:ascii="Arial" w:hAnsi="Arial" w:cs="Arial"/>
          <w:sz w:val="24"/>
          <w:szCs w:val="24"/>
          <w:lang w:val="en-US"/>
        </w:rPr>
        <w:t xml:space="preserve">: 32.4 ± 6.8% </w:t>
      </w:r>
      <w:r w:rsidR="00A77DFC" w:rsidRPr="00883FC0">
        <w:rPr>
          <w:rFonts w:ascii="Arial" w:hAnsi="Arial" w:cs="Arial"/>
          <w:sz w:val="24"/>
          <w:szCs w:val="24"/>
          <w:lang w:val="en-US"/>
        </w:rPr>
        <w:t xml:space="preserve">in </w:t>
      </w:r>
      <w:proofErr w:type="spellStart"/>
      <w:r w:rsidR="00A77DFC" w:rsidRPr="00883FC0">
        <w:rPr>
          <w:rFonts w:ascii="Arial" w:hAnsi="Arial" w:cs="Arial"/>
          <w:sz w:val="24"/>
          <w:szCs w:val="24"/>
          <w:lang w:val="en-US"/>
        </w:rPr>
        <w:t>Hinney</w:t>
      </w:r>
      <w:proofErr w:type="spellEnd"/>
      <w:r w:rsidR="00A77DFC" w:rsidRPr="00883FC0">
        <w:rPr>
          <w:rFonts w:ascii="Arial" w:hAnsi="Arial" w:cs="Arial"/>
          <w:sz w:val="24"/>
          <w:szCs w:val="24"/>
          <w:lang w:val="en-US"/>
        </w:rPr>
        <w:t xml:space="preserve"> et al. (2020) and ~66% in Avramenko et al. (2019).</w:t>
      </w:r>
      <w:r w:rsidR="00A77DFC" w:rsidRPr="00883FC0">
        <w:rPr>
          <w:rFonts w:ascii="Arial" w:hAnsi="Arial" w:cs="Arial"/>
          <w:color w:val="000000"/>
          <w:sz w:val="24"/>
          <w:szCs w:val="24"/>
          <w:shd w:val="clear" w:color="auto" w:fill="FFFFFF"/>
          <w:lang w:val="en-US"/>
        </w:rPr>
        <w:t xml:space="preserve"> Regarding </w:t>
      </w:r>
      <w:r w:rsidR="00A77DFC" w:rsidRPr="00883FC0">
        <w:rPr>
          <w:rFonts w:ascii="Arial" w:hAnsi="Arial" w:cs="Arial"/>
          <w:i/>
          <w:color w:val="000000"/>
          <w:sz w:val="24"/>
          <w:szCs w:val="24"/>
          <w:shd w:val="clear" w:color="auto" w:fill="FFFFFF"/>
          <w:lang w:val="en-US"/>
        </w:rPr>
        <w:t>Haemonchus contortus</w:t>
      </w:r>
      <w:r w:rsidR="00A77DFC" w:rsidRPr="00883FC0">
        <w:rPr>
          <w:rFonts w:ascii="Arial" w:hAnsi="Arial" w:cs="Arial"/>
          <w:color w:val="000000"/>
          <w:sz w:val="24"/>
          <w:szCs w:val="24"/>
          <w:shd w:val="clear" w:color="auto" w:fill="FFFFFF"/>
          <w:lang w:val="en-US"/>
        </w:rPr>
        <w:t xml:space="preserve">, we found high variability of resistance frequencies among sheep flocks (69.9 ± 14.4%). Our results are </w:t>
      </w:r>
      <w:proofErr w:type="gramStart"/>
      <w:r w:rsidR="00A77DFC" w:rsidRPr="00883FC0">
        <w:rPr>
          <w:rFonts w:ascii="Arial" w:hAnsi="Arial" w:cs="Arial"/>
          <w:color w:val="000000"/>
          <w:sz w:val="24"/>
          <w:szCs w:val="24"/>
          <w:shd w:val="clear" w:color="auto" w:fill="FFFFFF"/>
          <w:lang w:val="en-US"/>
        </w:rPr>
        <w:t>similar to</w:t>
      </w:r>
      <w:proofErr w:type="gramEnd"/>
      <w:r w:rsidR="00A77DFC" w:rsidRPr="00883FC0">
        <w:rPr>
          <w:rFonts w:ascii="Arial" w:hAnsi="Arial" w:cs="Arial"/>
          <w:color w:val="000000"/>
          <w:sz w:val="24"/>
          <w:szCs w:val="24"/>
          <w:shd w:val="clear" w:color="auto" w:fill="FFFFFF"/>
          <w:lang w:val="en-US"/>
        </w:rPr>
        <w:t xml:space="preserve"> the observations of Avramenko et al. (2019), but contrast with those of </w:t>
      </w:r>
      <w:proofErr w:type="spellStart"/>
      <w:r w:rsidR="00A77DFC" w:rsidRPr="00883FC0">
        <w:rPr>
          <w:rFonts w:ascii="Arial" w:hAnsi="Arial" w:cs="Arial"/>
          <w:color w:val="000000"/>
          <w:sz w:val="24"/>
          <w:szCs w:val="24"/>
          <w:shd w:val="clear" w:color="auto" w:fill="FFFFFF"/>
          <w:lang w:val="en-US"/>
        </w:rPr>
        <w:t>Hinney</w:t>
      </w:r>
      <w:proofErr w:type="spellEnd"/>
      <w:r w:rsidR="00A77DFC" w:rsidRPr="00883FC0">
        <w:rPr>
          <w:rFonts w:ascii="Arial" w:hAnsi="Arial" w:cs="Arial"/>
          <w:color w:val="000000"/>
          <w:sz w:val="24"/>
          <w:szCs w:val="24"/>
          <w:shd w:val="clear" w:color="auto" w:fill="FFFFFF"/>
          <w:lang w:val="en-US"/>
        </w:rPr>
        <w:t xml:space="preserve"> et al. (2020)</w:t>
      </w:r>
      <w:r w:rsidR="00102B5D" w:rsidRPr="00102B5D">
        <w:rPr>
          <w:rFonts w:ascii="Arial" w:hAnsi="Arial" w:cs="Arial"/>
          <w:color w:val="000000"/>
          <w:sz w:val="24"/>
          <w:szCs w:val="24"/>
          <w:highlight w:val="yellow"/>
          <w:shd w:val="clear" w:color="auto" w:fill="FFFFFF"/>
          <w:lang w:val="en-US"/>
        </w:rPr>
        <w:t>,</w:t>
      </w:r>
      <w:r w:rsidR="00A77DFC" w:rsidRPr="00883FC0">
        <w:rPr>
          <w:rFonts w:ascii="Arial" w:hAnsi="Arial" w:cs="Arial"/>
          <w:color w:val="000000"/>
          <w:sz w:val="24"/>
          <w:szCs w:val="24"/>
          <w:shd w:val="clear" w:color="auto" w:fill="FFFFFF"/>
          <w:lang w:val="en-US"/>
        </w:rPr>
        <w:t xml:space="preserve"> who detected high resistance frequencies for </w:t>
      </w:r>
      <w:r w:rsidR="00A77DFC" w:rsidRPr="00883FC0">
        <w:rPr>
          <w:rFonts w:ascii="Arial" w:hAnsi="Arial" w:cs="Arial"/>
          <w:i/>
          <w:color w:val="000000"/>
          <w:sz w:val="24"/>
          <w:szCs w:val="24"/>
          <w:shd w:val="clear" w:color="auto" w:fill="FFFFFF"/>
          <w:lang w:val="en-US"/>
        </w:rPr>
        <w:t>Haemonchus contortus</w:t>
      </w:r>
      <w:r w:rsidR="00A77DFC" w:rsidRPr="00883FC0">
        <w:rPr>
          <w:rFonts w:ascii="Arial" w:hAnsi="Arial" w:cs="Arial"/>
          <w:color w:val="000000"/>
          <w:sz w:val="24"/>
          <w:szCs w:val="24"/>
          <w:shd w:val="clear" w:color="auto" w:fill="FFFFFF"/>
          <w:lang w:val="en-US"/>
        </w:rPr>
        <w:t xml:space="preserve"> (91.9 ± 3.7%) in transhumant sheep flocks in the Austrian Alps.</w:t>
      </w:r>
      <w:r w:rsidR="00A36BEF" w:rsidRPr="00883FC0">
        <w:rPr>
          <w:rFonts w:ascii="Arial" w:hAnsi="Arial" w:cs="Arial"/>
          <w:color w:val="000000"/>
          <w:sz w:val="24"/>
          <w:szCs w:val="24"/>
          <w:shd w:val="clear" w:color="auto" w:fill="FFFFFF"/>
          <w:lang w:val="en-US"/>
        </w:rPr>
        <w:t xml:space="preserve"> In addition, </w:t>
      </w:r>
      <w:r w:rsidR="00A36BEF" w:rsidRPr="00DF1BDD">
        <w:rPr>
          <w:rFonts w:ascii="Arial" w:hAnsi="Arial" w:cs="Arial"/>
          <w:i/>
          <w:color w:val="000000"/>
          <w:sz w:val="24"/>
          <w:szCs w:val="24"/>
          <w:shd w:val="clear" w:color="auto" w:fill="FFFFFF"/>
          <w:lang w:val="en-US"/>
        </w:rPr>
        <w:t>Haemonchus contortus</w:t>
      </w:r>
      <w:r w:rsidR="00A36BEF" w:rsidRPr="00883FC0">
        <w:rPr>
          <w:rFonts w:ascii="Arial" w:hAnsi="Arial" w:cs="Arial"/>
          <w:color w:val="000000"/>
          <w:sz w:val="24"/>
          <w:szCs w:val="24"/>
          <w:shd w:val="clear" w:color="auto" w:fill="FFFFFF"/>
          <w:lang w:val="en-US"/>
        </w:rPr>
        <w:t xml:space="preserve"> was the parasite </w:t>
      </w:r>
      <w:r w:rsidR="00A36BEF" w:rsidRPr="00883FC0">
        <w:rPr>
          <w:rFonts w:ascii="Arial" w:hAnsi="Arial" w:cs="Arial"/>
          <w:color w:val="000000"/>
          <w:sz w:val="24"/>
          <w:szCs w:val="24"/>
          <w:shd w:val="clear" w:color="auto" w:fill="FFFFFF"/>
          <w:lang w:val="en-US"/>
        </w:rPr>
        <w:lastRenderedPageBreak/>
        <w:t xml:space="preserve">species with the highest diversity in terms of non-synonymous mutations. Besides the commonly found polymorphisms at codons 167 and 200 </w:t>
      </w:r>
      <w:r w:rsidR="00A36BEF" w:rsidRPr="00883FC0">
        <w:rPr>
          <w:rFonts w:ascii="Arial" w:hAnsi="Arial" w:cs="Arial"/>
          <w:color w:val="000000"/>
          <w:sz w:val="24"/>
          <w:szCs w:val="24"/>
          <w:shd w:val="clear" w:color="auto" w:fill="FFFFFF"/>
          <w:lang w:val="en-US"/>
        </w:rPr>
        <w:fldChar w:fldCharType="begin"/>
      </w:r>
      <w:r w:rsidR="00A36BEF" w:rsidRPr="00883FC0">
        <w:rPr>
          <w:rFonts w:ascii="Arial" w:hAnsi="Arial" w:cs="Arial"/>
          <w:color w:val="000000"/>
          <w:sz w:val="24"/>
          <w:szCs w:val="24"/>
          <w:shd w:val="clear" w:color="auto" w:fill="FFFFFF"/>
          <w:lang w:val="en-US"/>
        </w:rPr>
        <w:instrText xml:space="preserve"> ADDIN ZOTERO_ITEM CSL_CITATION {"citationID":"vjKSmFK2","properties":{"formattedCitation":"(Avramenko et al., 2019; Redman et al., 2015)","plainCitation":"(Avramenko et al., 2019; Redman et al., 2015)","noteIndex":0},"citationItems":[{"id":578,"uris":["http://zotero.org/users/local/NciqjDvn/items/NXNZT3CS"],"itemData":{"id":578,"type":"article-journal","abstract":"Parasitic gastrointestinal nematodes contribute to significant human morbidity and cause billions of dollars per year in lost agricultural production. Control is dependent on the use of anthelmintic drugs which, in the case of livestock parasites, is severely compromised by the widespread development of drug resistance. There are now concerns regarding the emergence of anthelmintic resistance in parasitic nematodes of humans in response to the selection pressure resulting from mass drug administration programs. Consequently, there is an urgent need for sensitive, scalable and accurate diagnostic tools to detect the emergence of anthelmintic resistance. Detecting and measuring the frequency of resistance-associated mutations in parasite populations has the potential to provide sensitive and quantitative assessment of resistance emergence from an early stage. Here, we describe the development and validation of deep amplicon sequencing as a powerful new approach to detect and quantify the frequency of single nucleotide polymorphisms associated with benzimidazole resistance. We have used parasite communities in sheep to undertake a proof-of-concept study of this approach. Sheep provide an excellent host system, as there are multiple co-infecting trichostrongylid nematode species, each likely with a varying prevalence of benzimidazole resistance. We demonstrate that the approach provides an accurate measure of resistance allele frequencies, and can reliably detect resistance alleles down to a frequency of 0.1%, making it particularly valuable for screening mutations in the early stages of resistance. We illustrate the power of the technique by screening UK sheep flocks for benzimidazole resistance-associated single nucleotide polymorphisms at three different codons of the β-tubulin gene in seven different parasite species from 164 populations (95 from ewes and 69 from lambs) in a single MiSeq sequencing run. This approach provides a powerful new tool to screen for the emergence of anthelmintic resistance mutations in parasitic nematode populations of both animals and humans.","container-title":"International Journal for Parasitology","DOI":"10.1016/j.ijpara.2018.10.005","ISSN":"0020-7519","issue":"1","journalAbbreviation":"International Journal for Parasitology","page":"13-26","source":"ScienceDirect","title":"Deep amplicon sequencing as a powerful new tool to screen for sequence polymorphisms associated with anthelmintic resistance in parasitic nematode populations","volume":"49","author":[{"family":"Avramenko","given":"Russell W."},{"family":"Redman","given":"Elizabeth M."},{"family":"Melville","given":"Lynsey"},{"family":"Bartley","given":"Yvonne"},{"family":"Wit","given":"Janneke"},{"family":"Queiroz","given":"Camila"},{"family":"Bartley","given":"Dave J."},{"family":"Gilleard","given":"John S."}],"issued":{"date-parts":[["2019"]]}}},{"id":2897,"uris":["http://zotero.org/users/local/NciqjDvn/items/CCTNKS44"],"itemData":{"id":2897,"type":"article-journal","abstract":"Anthelmintic resistance is a major problem for the control of parasitic nematodes of livestock and of growing concern for human parasite control. However, there is little understanding of how resistance arises and spreads or of the “genetic signature” of selection for this group of important pathogens. We have investigated these questions in the system for which anthelmintic resistance is most advanced; benzimidazole resistance in the sheep parasites Haemonchus contortus and Teladorsagia circumcincta. Population genetic analysis with neutral microsatellite markers reveals that T. circumcincta has higher genetic diversity but lower genetic differentiation between farms than H. contortus in the UK. We propose that this is due to epidemiological differences between the two parasites resulting in greater seasonal bottlenecking of H. contortus. There is a remarkably high level of resistance haplotype diversity in both parasites compared with drug resistance studies in other eukaryotic systems. Our analysis suggests a minimum of four independent origins of resistance mutations on just seven farms for H. contortus, and even more for T. circumincta. Both hard and soft selective sweeps have occurred with striking differences between individual farms. The sweeps are generally softer for T. circumcincta than H. contortus, consistent with its higher level of genetic diversity and consequent greater availability of new mutations. We propose a model in which multiple independent resistance mutations recurrently arise and spread by migration to explain the widespread occurrence of resistance in these parasites. Finally, in spite of the complex haplotypic diversity, we show that selection can be detected at the target locus using simple measures of genetic diversity and departures from neutrality. This work has important implications for the application of genome-wide approaches to identify new anthelmintic resistance loci and the likelihood of anthelmintic resistance emerging as selection pressure is increased in human soil-transmitted nematodes by community wide treatment programs.","container-title":"PLOS Neglected Tropical Diseases","DOI":"10.1371/journal.pntd.0003494","ISSN":"1935-2735","issue":"2","journalAbbreviation":"PLOS Neglected Tropical Diseases","language":"en","note":"publisher: Public Library of Science","page":"e0003494","source":"PLoS Journals","title":"The emergence of resistance to the benzimidazole anthlemintics in parasitic nematodes of livestock is characterised by multiple independent hard and soft selective sweeps","volume":"9","author":[{"family":"Redman","given":"Elizabeth"},{"family":"Whitelaw","given":"Fiona"},{"family":"Tait","given":"Andrew"},{"family":"Burgess","given":"Charlotte"},{"family":"Bartley","given":"Yvonne"},{"family":"Skuce","given":"Philip John"},{"family":"Jackson","given":"Frank"},{"family":"Gilleard","given":"John Stuart"}],"issued":{"date-parts":[["2015",2,6]]}}}],"schema":"https://github.com/citation-style-language/schema/raw/master/csl-citation.json"} </w:instrText>
      </w:r>
      <w:r w:rsidR="00A36BEF" w:rsidRPr="00883FC0">
        <w:rPr>
          <w:rFonts w:ascii="Arial" w:hAnsi="Arial" w:cs="Arial"/>
          <w:color w:val="000000"/>
          <w:sz w:val="24"/>
          <w:szCs w:val="24"/>
          <w:shd w:val="clear" w:color="auto" w:fill="FFFFFF"/>
          <w:lang w:val="en-US"/>
        </w:rPr>
        <w:fldChar w:fldCharType="separate"/>
      </w:r>
      <w:r w:rsidR="00A36BEF" w:rsidRPr="00883FC0">
        <w:rPr>
          <w:rFonts w:ascii="Arial" w:hAnsi="Arial" w:cs="Arial"/>
          <w:sz w:val="24"/>
          <w:lang w:val="en-US"/>
        </w:rPr>
        <w:t>(Avramenko et al., 2019; Redman et al., 2015)</w:t>
      </w:r>
      <w:r w:rsidR="00A36BEF" w:rsidRPr="00883FC0">
        <w:rPr>
          <w:rFonts w:ascii="Arial" w:hAnsi="Arial" w:cs="Arial"/>
          <w:color w:val="000000"/>
          <w:sz w:val="24"/>
          <w:szCs w:val="24"/>
          <w:shd w:val="clear" w:color="auto" w:fill="FFFFFF"/>
          <w:lang w:val="en-US"/>
        </w:rPr>
        <w:fldChar w:fldCharType="end"/>
      </w:r>
      <w:r w:rsidR="00A36BEF" w:rsidRPr="00883FC0">
        <w:rPr>
          <w:rFonts w:ascii="Arial" w:hAnsi="Arial" w:cs="Arial"/>
          <w:color w:val="000000"/>
          <w:sz w:val="24"/>
          <w:szCs w:val="24"/>
          <w:shd w:val="clear" w:color="auto" w:fill="FFFFFF"/>
          <w:lang w:val="en-US"/>
        </w:rPr>
        <w:t xml:space="preserve">, we detected several mutations at codon 198, occurring in particular with high frequency on the sheep farm in Montagne de l'Oule. In contrast to our study, previous research </w:t>
      </w:r>
      <w:r w:rsidR="00A36BEF" w:rsidRPr="00286F0B">
        <w:rPr>
          <w:rFonts w:ascii="Arial" w:hAnsi="Arial" w:cs="Arial"/>
          <w:color w:val="000000"/>
          <w:sz w:val="24"/>
          <w:szCs w:val="24"/>
          <w:highlight w:val="yellow"/>
          <w:shd w:val="clear" w:color="auto" w:fill="FFFFFF"/>
          <w:lang w:val="en-US"/>
        </w:rPr>
        <w:t>found</w:t>
      </w:r>
      <w:r w:rsidR="00A36BEF" w:rsidRPr="00883FC0">
        <w:rPr>
          <w:rFonts w:ascii="Arial" w:hAnsi="Arial" w:cs="Arial"/>
          <w:color w:val="000000"/>
          <w:sz w:val="24"/>
          <w:szCs w:val="24"/>
          <w:shd w:val="clear" w:color="auto" w:fill="FFFFFF"/>
          <w:lang w:val="en-US"/>
        </w:rPr>
        <w:t xml:space="preserve"> polymorphisms at codon 198, but they were rare </w:t>
      </w:r>
      <w:r w:rsidR="00A36BEF" w:rsidRPr="00883FC0">
        <w:rPr>
          <w:rFonts w:ascii="Arial" w:hAnsi="Arial" w:cs="Arial"/>
          <w:color w:val="000000"/>
          <w:sz w:val="24"/>
          <w:szCs w:val="24"/>
          <w:shd w:val="clear" w:color="auto" w:fill="FFFFFF"/>
          <w:lang w:val="en-US"/>
        </w:rPr>
        <w:fldChar w:fldCharType="begin"/>
      </w:r>
      <w:r w:rsidR="00A36BEF" w:rsidRPr="00883FC0">
        <w:rPr>
          <w:rFonts w:ascii="Arial" w:hAnsi="Arial" w:cs="Arial"/>
          <w:color w:val="000000"/>
          <w:sz w:val="24"/>
          <w:szCs w:val="24"/>
          <w:shd w:val="clear" w:color="auto" w:fill="FFFFFF"/>
          <w:lang w:val="en-US"/>
        </w:rPr>
        <w:instrText xml:space="preserve"> ADDIN ZOTERO_ITEM CSL_CITATION {"citationID":"P3DbnL7P","properties":{"formattedCitation":"(Francis and \\uc0\\u352{}lapeta, 2023; Ram\\uc0\\u252{}nke et al., 2016)","plainCitation":"(Francis and Šlapeta, 2023; Ramünke et al., 2016)","noteIndex":0},"citationItems":[{"id":5027,"uris":["http://zotero.org/users/local/NciqjDvn/items/RI6SGTJT"],"itemData":{"id":5027,"type":"article-journal","abstract":"Gastrointestinal nematodes threaten the productivity of grazing livestock and anthelmintic resistance has emerged globally. It is broadly understood that wild ruminants living in sympatry with livestock act as a positive source of refugia for anthelmintic-susceptible nematodes. However, they might also act as reservoirs of anthelmintic-resistant nematodes, contributing to the spread of anthelmintic resistance at a regional scale. Here, we sampled managed sheep and cattle together with feral goats within the same property in New South Wales, Australia. Internal transcribed spacer 2 (ITS-2) nemabiome metabarcoding identified 12 gastrointestinal nematodes (Cooperia oncophora, Cooperia punctata, Haemonchus contortus, Haemonchus placei, Nematodirus spathiger, Ostertagia ostertagi, Teladorsagia circumcincta, Oesophagostomum radiatum, Oesophagostomum venulosum, Trichostrongylus axei, Trichostrongylus colubriformis and Trichostrongylus rugatus). Isotype-1 β-tubulin metabarcoding targeting benzimidazole resistance polymorphisms identified 6 of these nematode species (C. oncophora, C. punctata, H. contortus, H. placei, O. ostertagi and T. circumcincta), with the remaining 3 genera unable to be identified to the species level (Nematodirus, Oesophagostomum, Trichostrongylus). Both ITS-2 and β-tubulin metabarcoding showed the presence of a cryptic species of T. circumcincta, known from domestic goats in France. Of the gastrointestinal nematodes detected via β-tubulin metabarcoding, H. contortus, T. circumcincta, Nematodirus and Trichostrongylus exhibited the presence of at least one resistance genotype. We found that generalist gastrointestinal nematodes in untreated feral goats had a similarly high frequency of the benzimidazole-resistant F200Y polymorphism as those nematodes in sheep and cattle. This suggests cross-transmission and maintenance of the resistant genotype within the wild ruminant population, affirming that wild ruminants should be considered potential reservoirs of anthelmintic resistance.","container-title":"Parasitology","DOI":"10.1017/S0031182023000380","ISSN":"1469-8161","journalAbbreviation":"Parasitology","language":"eng","note":"PMID: 37165895","page":"1-11","source":"PubMed","title":"Refugia or reservoir? Feral goats and their role in the maintenance and circulation of benzimidazole-resistant gastrointestinal nematodes on shared pastures","title-short":"Refugia or reservoir?","author":[{"family":"Francis","given":"Emily Kate"},{"family":"Šlapeta","given":"Jan"}],"issued":{"date-parts":[["2023",5,11]]}}},{"id":2412,"uris":["http://zotero.org/users/local/NciqjDvn/items/39V426XE"],"itemData":{"id":2412,"type":"article-journal","abstract":"Resistance to benzimidazoles (BZs) in trichostrongyloid nematodes is a worldwide problem for livestock production, particularly regarding small ruminants. Sensitive and reliable methods are required to assess anthelmintic resistance status. Currently available methods for BZ resistance detection can be divided into three main groups, in vivo (e.g. faecal egg count reduction test), in vitro (e.g. egg hatch assay) and molecular tests. Three single nucleotide polymorphisms (SNPs) in the isotype-1 β-tubulin gene of various nematode species correlate with BZ resistance. While PCR-based methods have been reported for the three most economically important nematodes of sheep, namely, Trichostrongylus, Haemonchus and Teladorsagia, pyrosequencing assays are so far only available for the latter two. Here, the design and evaluation of pyrosequencing assays for isotype-1 and isotype-2 β-tubulin genes of Trichostrongylus colubriformis are described. PCR fragments carrying the susceptible and corresponding resistant genotype were combined in defined ratios to evaluate assay sensitivity and linearity. The correlation between the given and the measured allele frequencies of the respective SNPs (codons F167Y, E198A and F200Y) was very high. Pyrosequencing assays for Haemonchus, Teladorsagia and Trichostrongylus were subsequently used for a BZ resistance survey, carried out in the three European countries, namely Ireland, Italy and Switzerland. Larval cultures obtained from field survey samples in 2012 and 2013 were used for pyrosequencing. The test was applied when the target species represented at least 10% of the sample. Trichostrongylus and Teladorsagia were detected in all countries' samples whereas Haemonchus was not detected in samples from Ireland. SNPs in isotype-1 associated with resistance were detected for all three species, with frequencies at codon F200Y far exceeding those at codons F167Y and E198A. Elevated SNP frequencies in isotype-2 of Trichostrongylus were only rarely detected. Farms with BZ resistance-associated SNP frequencies above 10% were most often found in Switzerland followed by Ireland and Italy.","container-title":"International Journal for Parasitology: Drugs and Drug Resistance","DOI":"10.1016/j.ijpddr.2016.10.002","ISSN":"2211-3207","issue":"3","journalAbbreviation":"International Journal for Parasitology: Drugs and Drug Resistance","language":"en","page":"230-240","source":"ScienceDirect","title":"Benzimidazole resistance survey for &lt;i&gt;Haemonchus&lt;/i&gt;, &lt;i&gt;Teladorsagia&lt;/i&gt; and &lt;i&gt;Trichostrongylus&lt;/i&gt; in three European countries using pyrosequencing including the development of new assays for &lt;i&gt;Trichostrongylus&lt;/i&gt;","volume":"6","author":[{"family":"Ramünke","given":"Sabrina"},{"family":"Melville","given":"Lynsey"},{"family":"Rinaldi","given":"Laura"},{"family":"Hertzberg","given":"Hubertus"},{"family":"Waal","given":"Theo","non-dropping-particle":"de"},{"family":"Samson-Himmelstjerna","given":"Georg","non-dropping-particle":"von"},{"family":"Cringoli","given":"Giuseppe"},{"family":"Mavrot","given":"Fabien"},{"family":"Skuce","given":"Philip"},{"family":"Krücken","given":"Jürgen"},{"family":"Demeler","given":"Janina"}],"issued":{"date-parts":[["2016",12,1]]}}}],"schema":"https://github.com/citation-style-language/schema/raw/master/csl-citation.json"} </w:instrText>
      </w:r>
      <w:r w:rsidR="00A36BEF" w:rsidRPr="00883FC0">
        <w:rPr>
          <w:rFonts w:ascii="Arial" w:hAnsi="Arial" w:cs="Arial"/>
          <w:color w:val="000000"/>
          <w:sz w:val="24"/>
          <w:szCs w:val="24"/>
          <w:shd w:val="clear" w:color="auto" w:fill="FFFFFF"/>
          <w:lang w:val="en-US"/>
        </w:rPr>
        <w:fldChar w:fldCharType="separate"/>
      </w:r>
      <w:r w:rsidR="00A36BEF" w:rsidRPr="00883FC0">
        <w:rPr>
          <w:rFonts w:ascii="Arial" w:hAnsi="Arial" w:cs="Arial"/>
          <w:sz w:val="24"/>
          <w:szCs w:val="24"/>
          <w:lang w:val="en-US"/>
        </w:rPr>
        <w:t>(Francis and Šlapeta, 2023; Ramünke et al., 2016)</w:t>
      </w:r>
      <w:r w:rsidR="00A36BEF" w:rsidRPr="00883FC0">
        <w:rPr>
          <w:rFonts w:ascii="Arial" w:hAnsi="Arial" w:cs="Arial"/>
          <w:color w:val="000000"/>
          <w:sz w:val="24"/>
          <w:szCs w:val="24"/>
          <w:shd w:val="clear" w:color="auto" w:fill="FFFFFF"/>
          <w:lang w:val="en-US"/>
        </w:rPr>
        <w:fldChar w:fldCharType="end"/>
      </w:r>
      <w:r w:rsidR="00A36BEF" w:rsidRPr="00883FC0">
        <w:rPr>
          <w:rFonts w:ascii="Arial" w:hAnsi="Arial" w:cs="Arial"/>
          <w:color w:val="000000"/>
          <w:sz w:val="24"/>
          <w:szCs w:val="24"/>
          <w:shd w:val="clear" w:color="auto" w:fill="FFFFFF"/>
          <w:lang w:val="en-US"/>
        </w:rPr>
        <w:t>.</w:t>
      </w:r>
    </w:p>
    <w:p w14:paraId="684B40B6" w14:textId="602C6816" w:rsidR="003E01B7" w:rsidRPr="00883FC0" w:rsidRDefault="003E01B7" w:rsidP="006C6E35">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 xml:space="preserve">Several factors are suspected to contribute to interspecific differences in the selection of resistance strains </w:t>
      </w:r>
      <w:r w:rsidR="006C6E35" w:rsidRPr="00883FC0">
        <w:rPr>
          <w:rFonts w:ascii="Arial" w:hAnsi="Arial" w:cs="Arial"/>
          <w:sz w:val="24"/>
          <w:szCs w:val="24"/>
          <w:lang w:val="en-GB"/>
        </w:rPr>
        <w:t>among</w:t>
      </w:r>
      <w:r w:rsidRPr="00883FC0">
        <w:rPr>
          <w:rFonts w:ascii="Arial" w:hAnsi="Arial" w:cs="Arial"/>
          <w:sz w:val="24"/>
          <w:szCs w:val="24"/>
          <w:lang w:val="en-GB"/>
        </w:rPr>
        <w:t xml:space="preserve"> nematode species, including specific reproductive rate</w:t>
      </w:r>
      <w:r w:rsidR="00B93ADC" w:rsidRPr="00883FC0">
        <w:rPr>
          <w:rFonts w:ascii="Arial" w:hAnsi="Arial" w:cs="Arial"/>
          <w:sz w:val="24"/>
          <w:szCs w:val="24"/>
          <w:lang w:val="en-GB"/>
        </w:rPr>
        <w:t>s</w:t>
      </w:r>
      <w:r w:rsidRPr="00883FC0">
        <w:rPr>
          <w:rFonts w:ascii="Arial" w:hAnsi="Arial" w:cs="Arial"/>
          <w:sz w:val="24"/>
          <w:szCs w:val="24"/>
          <w:lang w:val="en-GB"/>
        </w:rPr>
        <w:t xml:space="preserve">, seasonal dynamics, </w:t>
      </w:r>
      <w:r w:rsidR="006C6E35" w:rsidRPr="00883FC0">
        <w:rPr>
          <w:rFonts w:ascii="Arial" w:hAnsi="Arial" w:cs="Arial"/>
          <w:sz w:val="24"/>
          <w:szCs w:val="24"/>
          <w:lang w:val="en-GB"/>
        </w:rPr>
        <w:t xml:space="preserve">exposure to </w:t>
      </w:r>
      <w:r w:rsidR="006C6E35" w:rsidRPr="00286F0B">
        <w:rPr>
          <w:rFonts w:ascii="Arial" w:hAnsi="Arial" w:cs="Arial"/>
          <w:sz w:val="24"/>
          <w:szCs w:val="24"/>
          <w:highlight w:val="yellow"/>
          <w:lang w:val="en-GB"/>
        </w:rPr>
        <w:t>anthelmintic</w:t>
      </w:r>
      <w:r w:rsidR="00286F0B" w:rsidRPr="00286F0B">
        <w:rPr>
          <w:rFonts w:ascii="Arial" w:hAnsi="Arial" w:cs="Arial"/>
          <w:sz w:val="24"/>
          <w:szCs w:val="24"/>
          <w:highlight w:val="yellow"/>
          <w:lang w:val="en-GB"/>
        </w:rPr>
        <w:t>s</w:t>
      </w:r>
      <w:r w:rsidR="006C6E35" w:rsidRPr="00883FC0">
        <w:rPr>
          <w:rFonts w:ascii="Arial" w:hAnsi="Arial" w:cs="Arial"/>
          <w:sz w:val="24"/>
          <w:szCs w:val="24"/>
          <w:lang w:val="en-GB"/>
        </w:rPr>
        <w:t xml:space="preserve"> in the digestive tract</w:t>
      </w:r>
      <w:r w:rsidR="004F2856" w:rsidRPr="00883FC0">
        <w:rPr>
          <w:rFonts w:ascii="Arial" w:hAnsi="Arial" w:cs="Arial"/>
          <w:sz w:val="24"/>
          <w:szCs w:val="24"/>
          <w:lang w:val="en-GB"/>
        </w:rPr>
        <w:t xml:space="preserve">, </w:t>
      </w:r>
      <w:r w:rsidR="006C6E35" w:rsidRPr="00883FC0">
        <w:rPr>
          <w:rFonts w:ascii="Arial" w:hAnsi="Arial" w:cs="Arial"/>
          <w:sz w:val="24"/>
          <w:szCs w:val="24"/>
          <w:lang w:val="en-GB"/>
        </w:rPr>
        <w:t>drug effective dose and</w:t>
      </w:r>
      <w:r w:rsidR="004F2856" w:rsidRPr="00883FC0">
        <w:rPr>
          <w:rFonts w:ascii="Arial" w:hAnsi="Arial" w:cs="Arial"/>
          <w:sz w:val="24"/>
          <w:szCs w:val="24"/>
          <w:lang w:val="en-GB"/>
        </w:rPr>
        <w:t xml:space="preserve"> </w:t>
      </w:r>
      <w:r w:rsidR="00286F0B" w:rsidRPr="00286F0B">
        <w:rPr>
          <w:rFonts w:ascii="Arial" w:hAnsi="Arial" w:cs="Arial"/>
          <w:sz w:val="24"/>
          <w:szCs w:val="24"/>
          <w:highlight w:val="yellow"/>
          <w:lang w:val="en-GB"/>
        </w:rPr>
        <w:t>the</w:t>
      </w:r>
      <w:r w:rsidR="00286F0B">
        <w:rPr>
          <w:rFonts w:ascii="Arial" w:hAnsi="Arial" w:cs="Arial"/>
          <w:sz w:val="24"/>
          <w:szCs w:val="24"/>
          <w:lang w:val="en-GB"/>
        </w:rPr>
        <w:t xml:space="preserve"> </w:t>
      </w:r>
      <w:r w:rsidR="004F2856" w:rsidRPr="00883FC0">
        <w:rPr>
          <w:rFonts w:ascii="Arial" w:hAnsi="Arial" w:cs="Arial"/>
          <w:sz w:val="24"/>
          <w:szCs w:val="24"/>
          <w:lang w:val="en-GB"/>
        </w:rPr>
        <w:t>fitness cost of benzimidazole resistance, and</w:t>
      </w:r>
      <w:r w:rsidR="006C6E35" w:rsidRPr="00883FC0">
        <w:rPr>
          <w:rFonts w:ascii="Arial" w:hAnsi="Arial" w:cs="Arial"/>
          <w:sz w:val="24"/>
          <w:szCs w:val="24"/>
          <w:lang w:val="en-GB"/>
        </w:rPr>
        <w:t xml:space="preserve"> </w:t>
      </w:r>
      <w:r w:rsidRPr="00883FC0">
        <w:rPr>
          <w:rFonts w:ascii="Arial" w:hAnsi="Arial" w:cs="Arial"/>
          <w:sz w:val="24"/>
          <w:szCs w:val="24"/>
          <w:lang w:val="en-GB"/>
        </w:rPr>
        <w:t>climatic conditions in the location of sheep farms, anthelmintic strategies, e.g., treatment molecules, timing and rate of anthelmintic treatments</w:t>
      </w:r>
      <w:r w:rsidR="004F2856" w:rsidRPr="00883FC0">
        <w:rPr>
          <w:rFonts w:ascii="Arial" w:hAnsi="Arial" w:cs="Arial"/>
          <w:sz w:val="24"/>
          <w:szCs w:val="24"/>
          <w:lang w:val="en-GB"/>
        </w:rPr>
        <w:t xml:space="preserve"> and </w:t>
      </w:r>
      <w:r w:rsidRPr="00883FC0">
        <w:rPr>
          <w:rFonts w:ascii="Arial" w:hAnsi="Arial" w:cs="Arial"/>
          <w:sz w:val="24"/>
          <w:szCs w:val="24"/>
          <w:lang w:val="en-GB"/>
        </w:rPr>
        <w:t xml:space="preserve">grazing management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{"citationID":"F5BBTgqW","properties":{"formattedCitation":"(Hodgkinson et al., 2019; Redman et al., 2015)","plainCitation":"(Hodgkinson et al., 2019; Redman et al., 2015)","noteIndex":0},"citationItems":[{"id":3753,"uris":["http://zotero.org/users/local/NciqjDvn/items/WC2X4498"],"itemData":{"id":3753,"type":"article-journal","abstract":"Anthelmintic resistance is a threat to global food security. In order to alleviate the selection pressure for resistance and maintain drug efficacy, management strategies increasingly aim to preserve a proportion of the parasite population in ‘refugia’, unexposed to treatment. While persuasive in its logic, and widely advocated as best practice, evidence for the ability of refugia-based approaches to slow the development of drug resistance in parasitic helminths is currently limited. Moreover, the conditions needed for refugia to work, or how transferable those are between parasite-host systems, are not known. This review, born of an international workshop, seeks to deconstruct the concept of refugia and examine its assumptions and applicability in different situations. We conclude that factors potentially important to refugia, such as the fitness cost of drug resistance, the degree of mixing between parasite sub-populations selected through treatment or not, and the impact of parasite life-history, genetics and environment on the population dynamics of resistance, vary widely between systems. The success of attempts to generate refugia to limit anthelmintic drug resistance are therefore likely to be highly dependent on the system in hand. Additional research is needed on the concept of refugia and the underlying principles for its application across systems, as well as empirical studies within systems that prove and optimise its usefulness.","container-title":"International Journal for Parasitology: Drugs and Drug Resistance","DOI":"10.1016/j.ijpddr.2019.05.001","ISSN":"2211-3207","journalAbbreviation":"International Journal for Parasitology: Drugs and Drug Resistance","language":"en","page":"51-57","source":"ScienceDirect","title":"Refugia and anthelmintic resistance: Concepts and challenges","title-short":"Refugia and anthelmintic resistance","volume":"10","author":[{"family":"Hodgkinson","given":"Jane E."},{"family":"Kaplan","given":"Ray M."},{"family":"Kenyon","given":"Fiona"},{"family":"Morgan","given":"Eric R."},{"family":"Park","given":"Andrew W."},{"family":"Paterson","given":"Steve"},{"family":"Babayan","given":"Simon A."},{"family":"Beesley","given":"Nicola J."},{"family":"Britton","given":"Collette"},{"family":"Chaudhry","given":"Umer"},{"family":"Doyle","given":"Stephen R."},{"family":"Ezenwa","given":"Vanessa O."},{"family":"Fenton","given":"Andy"},{"family":"Howell","given":"Sue B."},{"family":"Laing","given":"Roz"},{"family":"Mable","given":"Barbara K."},{"family":"Matthews","given":"Louise"},{"family":"McIntyre","given":"Jennifer"},{"family":"Milne","given":"Catherine E."},{"family":"Morrison","given":"Thomas A."},{"family":"Prentice","given":"Jamie C."},{"family":"Sargison","given":"Neil D."},{"family":"Williams","given":"Diana J. L."},{"family":"Wolstenholme","given":"Adrian J."},{"family":"Devaney","given":"Eileen"}],"issued":{"date-parts":[["2019",8,1]]}}},{"id":2897,"uris":["http://zotero.org/users/local/NciqjDvn/items/CCTNKS44"],"itemData":{"id":2897,"type":"article-journal","abstract":"Anthelmintic resistance is a major problem for the control of parasitic nematodes of livestock and of growing concern for human parasite control. However, there is little understanding of how resistance arises and spreads or of the “genetic signature” of selection for this group of important pathogens. We have investigated these questions in the system for which anthelmintic resistance is most advanced; benzimidazole resistance in the sheep parasites Haemonchus contortus and Teladorsagia circumcincta. Population genetic analysis with neutral microsatellite markers reveals that T. circumcincta has higher genetic diversity but lower genetic differentiation between farms than H. contortus in the UK. We propose that this is due to epidemiological differences between the two parasites resulting in greater seasonal bottlenecking of H. contortus. There is a remarkably high level of resistance haplotype diversity in both parasites compared with drug resistance studies in other eukaryotic systems. Our analysis suggests a minimum of four independent origins of resistance mutations on just seven farms for H. contortus, and even more for T. circumincta. Both hard and soft selective sweeps have occurred with striking differences between individual farms. The sweeps are generally softer for T. circumcincta than H. contortus, consistent with its higher level of genetic diversity and consequent greater availability of new mutations. We propose a model in which multiple independent resistance mutations recurrently arise and spread by migration to explain the widespread occurrence of resistance in these parasites. Finally, in spite of the complex haplotypic diversity, we show that selection can be detected at the target locus using simple measures of genetic diversity and departures from neutrality. This work has important implications for the application of genome-wide approaches to identify new anthelmintic resistance loci and the likelihood of anthelmintic resistance emerging as selection pressure is increased in human soil-transmitted nematodes by community wide treatment programs.","container-title":"PLOS Neglected Tropical Diseases","DOI":"10.1371/journal.pntd.0003494","ISSN":"1935-2735","issue":"2","journalAbbreviation":"PLOS Neglected Tropical Diseases","language":"en","note":"publisher: Public Library of Science","page":"e0003494","source":"PLoS Journals","title":"The emergence of resistance to the benzimidazole anthlemintics in parasitic nematodes of livestock is characterised by multiple independent hard and soft selective sweeps","volume":"9","author":[{"family":"Redman","given":"Elizabeth"},{"family":"Whitelaw","given":"Fiona"},{"family":"Tait","given":"Andrew"},{"family":"Burgess","given":"Charlotte"},{"family":"Bartley","given":"Yvonne"},{"family":"Skuce","given":"Philip John"},{"family":"Jackson","given":"Frank"},{"family":"Gilleard","given":"John Stuart"}],"issued":{"date-parts":[["2015",2,6]]}}}],"schema":"https://github.com/citation-style-language/schema/raw/master/csl-citation.json"}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(Hodgkinson et al., 2019; Redman et al., 2015)</w:t>
      </w:r>
      <w:r w:rsidRPr="00883FC0">
        <w:rPr>
          <w:rFonts w:ascii="Arial" w:hAnsi="Arial" w:cs="Arial"/>
          <w:sz w:val="24"/>
          <w:szCs w:val="24"/>
          <w:lang w:val="en-GB"/>
        </w:rPr>
        <w:fldChar w:fldCharType="end"/>
      </w:r>
      <w:r w:rsidRPr="00883FC0">
        <w:rPr>
          <w:rFonts w:ascii="Arial" w:hAnsi="Arial" w:cs="Arial"/>
          <w:sz w:val="24"/>
          <w:szCs w:val="24"/>
          <w:lang w:val="en-GB"/>
        </w:rPr>
        <w:t>. However, the links between parasite</w:t>
      </w:r>
      <w:r w:rsidR="00B93ADC" w:rsidRPr="00883FC0">
        <w:rPr>
          <w:rFonts w:ascii="Arial" w:hAnsi="Arial" w:cs="Arial"/>
          <w:sz w:val="24"/>
          <w:szCs w:val="24"/>
          <w:lang w:val="en-GB"/>
        </w:rPr>
        <w:t xml:space="preserve"> traits</w:t>
      </w:r>
      <w:r w:rsidRPr="00883FC0">
        <w:rPr>
          <w:rFonts w:ascii="Arial" w:hAnsi="Arial" w:cs="Arial"/>
          <w:sz w:val="24"/>
          <w:szCs w:val="24"/>
          <w:lang w:val="en-GB"/>
        </w:rPr>
        <w:t xml:space="preserve"> and interspecific variation </w:t>
      </w:r>
      <w:r w:rsidR="00102B5D" w:rsidRPr="00102B5D">
        <w:rPr>
          <w:rFonts w:ascii="Arial" w:hAnsi="Arial" w:cs="Arial"/>
          <w:sz w:val="24"/>
          <w:szCs w:val="24"/>
          <w:highlight w:val="yellow"/>
          <w:lang w:val="en-GB"/>
        </w:rPr>
        <w:t>in</w:t>
      </w:r>
      <w:r w:rsidRPr="00883FC0">
        <w:rPr>
          <w:rFonts w:ascii="Arial" w:hAnsi="Arial" w:cs="Arial"/>
          <w:sz w:val="24"/>
          <w:szCs w:val="24"/>
          <w:lang w:val="en-GB"/>
        </w:rPr>
        <w:t xml:space="preserve"> resistan</w:t>
      </w:r>
      <w:r w:rsidR="00B93ADC" w:rsidRPr="00883FC0">
        <w:rPr>
          <w:rFonts w:ascii="Arial" w:hAnsi="Arial" w:cs="Arial"/>
          <w:sz w:val="24"/>
          <w:szCs w:val="24"/>
          <w:lang w:val="en-GB"/>
        </w:rPr>
        <w:t>ce</w:t>
      </w:r>
      <w:r w:rsidRPr="00883FC0">
        <w:rPr>
          <w:rFonts w:ascii="Arial" w:hAnsi="Arial" w:cs="Arial"/>
          <w:sz w:val="24"/>
          <w:szCs w:val="24"/>
          <w:lang w:val="en-GB"/>
        </w:rPr>
        <w:t xml:space="preserve"> acquisition by gastrointestinal nematodes ha</w:t>
      </w:r>
      <w:r w:rsidR="00B93ADC" w:rsidRPr="00883FC0">
        <w:rPr>
          <w:rFonts w:ascii="Arial" w:hAnsi="Arial" w:cs="Arial"/>
          <w:sz w:val="24"/>
          <w:szCs w:val="24"/>
          <w:lang w:val="en-GB"/>
        </w:rPr>
        <w:t>s</w:t>
      </w:r>
      <w:r w:rsidRPr="00883FC0">
        <w:rPr>
          <w:rFonts w:ascii="Arial" w:hAnsi="Arial" w:cs="Arial"/>
          <w:sz w:val="24"/>
          <w:szCs w:val="24"/>
          <w:lang w:val="en-GB"/>
        </w:rPr>
        <w:t xml:space="preserve"> not been tested yet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{"citationID":"a1o5oim8eo5","properties":{"formattedCitation":"(Morgan et al., 2019)","plainCitation":"(Morgan et al., 2019)","noteIndex":0},"citationItems":[{"id":1999,"uris":["http://zotero.org/users/local/NciqjDvn/items/UXCSKRYM"],"itemData":{"id":1999,"type":"article-journal","container-title":"Trends in Parasitology","DOI":"10.1016/j.pt.2018.10.006","ISSN":"14714922","issue":"1","journalAbbreviation":"Trends in Parasitology","language":"en","page":"52-71","source":"DOI.org (Crossref)","title":"100 Questions in Livestock Helminthology Research","volume":"35","author":[{"family":"Morgan","given":"Eric R."},{"family":"Aziz","given":"Nor-Azlina A."},{"family":"Blanchard","given":"Alexandra"},{"family":"Charlier","given":"Johannes"},{"family":"Charvet","given":"Claude"},{"family":"Claerebout","given":"Edwin"},{"family":"Geldhof","given":"Peter"},{"family":"Greer","given":"Andrew W."},{"family":"Hertzberg","given":"Hubertus"},{"family":"Hodgkinson","given":"Jane"},{"family":"Höglund","given":"Johan"},{"family":"Hoste","given":"Hervé"},{"family":"Kaplan","given":"Ray M."},{"family":"Martínez-Valladares","given":"María"},{"family":"Mitchell","given":"Siân"},{"family":"Ploeger","given":"Harm W."},{"family":"Rinaldi","given":"Laura"},{"family":"Samson-Himmelstjerna","given":"Georg","non-dropping-particle":"von"},{"family":"Sotiraki","given":"Smaragda"},{"family":"Schnyder","given":"Manuela"},{"family":"Skuce","given":"Philip"},{"family":"Bartley","given":"David"},{"family":"Kenyon","given":"Fiona"},{"family":"Thamsborg","given":"Stig M."},{"family":"Vineer","given":"Hannah Rose"},{"family":"Waal","given":"Theo","non-dropping-particle":"de"},{"family":"Williams","given":"Andrew R."},{"family":"Wyk","given":"Jan A.","non-dropping-particle":"van"},{"family":"Vercruysse","given":"Jozef"}],"issued":{"date-parts":[["2019",1]]}}}],"schema":"https://github.com/citation-style-language/schema/raw/master/csl-citation.json"}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(Morgan et al., 2019)</w:t>
      </w:r>
      <w:r w:rsidRPr="00883FC0">
        <w:rPr>
          <w:rFonts w:ascii="Arial" w:hAnsi="Arial" w:cs="Arial"/>
          <w:sz w:val="24"/>
          <w:szCs w:val="24"/>
          <w:lang w:val="en-GB"/>
        </w:rPr>
        <w:fldChar w:fldCharType="end"/>
      </w:r>
      <w:r w:rsidRPr="00883FC0">
        <w:rPr>
          <w:rFonts w:ascii="Arial" w:hAnsi="Arial" w:cs="Arial"/>
          <w:sz w:val="24"/>
          <w:szCs w:val="24"/>
          <w:lang w:val="en-GB"/>
        </w:rPr>
        <w:t xml:space="preserve">. Our results suggest </w:t>
      </w:r>
      <w:r w:rsidR="00102B5D" w:rsidRPr="00102B5D">
        <w:rPr>
          <w:rFonts w:ascii="Arial" w:hAnsi="Arial" w:cs="Arial"/>
          <w:sz w:val="24"/>
          <w:szCs w:val="24"/>
          <w:highlight w:val="yellow"/>
          <w:lang w:val="en-GB"/>
        </w:rPr>
        <w:t>some</w:t>
      </w:r>
      <w:r w:rsidRPr="00883FC0">
        <w:rPr>
          <w:rFonts w:ascii="Arial" w:hAnsi="Arial" w:cs="Arial"/>
          <w:sz w:val="24"/>
          <w:szCs w:val="24"/>
          <w:lang w:val="en-GB"/>
        </w:rPr>
        <w:t xml:space="preserve"> clues relat</w:t>
      </w:r>
      <w:r w:rsidR="00102B5D" w:rsidRPr="00102B5D">
        <w:rPr>
          <w:rFonts w:ascii="Arial" w:hAnsi="Arial" w:cs="Arial"/>
          <w:sz w:val="24"/>
          <w:szCs w:val="24"/>
          <w:highlight w:val="yellow"/>
          <w:lang w:val="en-GB"/>
        </w:rPr>
        <w:t>ed</w:t>
      </w:r>
      <w:r w:rsidR="00102B5D">
        <w:rPr>
          <w:rFonts w:ascii="Arial" w:hAnsi="Arial" w:cs="Arial"/>
          <w:sz w:val="24"/>
          <w:szCs w:val="24"/>
          <w:lang w:val="en-GB"/>
        </w:rPr>
        <w:t xml:space="preserve"> </w:t>
      </w:r>
      <w:r w:rsidR="00F22C0A" w:rsidRPr="00883FC0">
        <w:rPr>
          <w:rFonts w:ascii="Arial" w:hAnsi="Arial" w:cs="Arial"/>
          <w:sz w:val="24"/>
          <w:szCs w:val="24"/>
          <w:lang w:val="en-GB"/>
        </w:rPr>
        <w:t>to</w:t>
      </w:r>
      <w:r w:rsidRPr="00883FC0">
        <w:rPr>
          <w:rFonts w:ascii="Arial" w:hAnsi="Arial" w:cs="Arial"/>
          <w:sz w:val="24"/>
          <w:szCs w:val="24"/>
          <w:lang w:val="en-GB"/>
        </w:rPr>
        <w:t xml:space="preserve"> the ecology of </w:t>
      </w:r>
      <w:r w:rsidR="00B93ADC" w:rsidRPr="00883FC0">
        <w:rPr>
          <w:rFonts w:ascii="Arial" w:hAnsi="Arial" w:cs="Arial"/>
          <w:sz w:val="24"/>
          <w:szCs w:val="24"/>
          <w:lang w:val="en-GB"/>
        </w:rPr>
        <w:t xml:space="preserve">the </w:t>
      </w:r>
      <w:r w:rsidRPr="00883FC0">
        <w:rPr>
          <w:rFonts w:ascii="Arial" w:hAnsi="Arial" w:cs="Arial"/>
          <w:sz w:val="24"/>
          <w:szCs w:val="24"/>
          <w:lang w:val="en-GB"/>
        </w:rPr>
        <w:t>nematode species.</w:t>
      </w:r>
    </w:p>
    <w:p w14:paraId="29FE64C1" w14:textId="1B206035" w:rsidR="003E01B7" w:rsidRPr="00883FC0" w:rsidRDefault="003E01B7" w:rsidP="00A0712B">
      <w:pPr>
        <w:spacing w:after="0" w:line="360" w:lineRule="auto"/>
        <w:ind w:firstLine="360"/>
        <w:jc w:val="both"/>
        <w:rPr>
          <w:rFonts w:ascii="Arial" w:hAnsi="Arial" w:cs="Arial"/>
          <w:sz w:val="24"/>
          <w:szCs w:val="24"/>
          <w:lang w:val="en-GB"/>
        </w:rPr>
      </w:pPr>
      <w:bookmarkStart w:id="50" w:name="_Hlk169427147"/>
      <w:bookmarkEnd w:id="47"/>
      <w:r w:rsidRPr="00883FC0">
        <w:rPr>
          <w:rFonts w:ascii="Arial" w:hAnsi="Arial" w:cs="Arial"/>
          <w:sz w:val="24"/>
          <w:szCs w:val="24"/>
          <w:lang w:val="en-GB"/>
        </w:rPr>
        <w:t>First</w:t>
      </w:r>
      <w:r w:rsidR="00F22C0A" w:rsidRPr="00883FC0">
        <w:rPr>
          <w:rFonts w:ascii="Arial" w:hAnsi="Arial" w:cs="Arial"/>
          <w:sz w:val="24"/>
          <w:szCs w:val="24"/>
          <w:lang w:val="en-GB"/>
        </w:rPr>
        <w:t>ly</w:t>
      </w:r>
      <w:r w:rsidRPr="00883FC0">
        <w:rPr>
          <w:rFonts w:ascii="Arial" w:hAnsi="Arial" w:cs="Arial"/>
          <w:sz w:val="24"/>
          <w:szCs w:val="24"/>
          <w:lang w:val="en-GB"/>
        </w:rPr>
        <w:t xml:space="preserve">, nematode species have different </w:t>
      </w:r>
      <w:r w:rsidR="00F22C0A" w:rsidRPr="00883FC0">
        <w:rPr>
          <w:rFonts w:ascii="Arial" w:hAnsi="Arial" w:cs="Arial"/>
          <w:sz w:val="24"/>
          <w:szCs w:val="24"/>
          <w:lang w:val="en-GB"/>
        </w:rPr>
        <w:t xml:space="preserve">abilities </w:t>
      </w:r>
      <w:r w:rsidRPr="00883FC0">
        <w:rPr>
          <w:rFonts w:ascii="Arial" w:hAnsi="Arial" w:cs="Arial"/>
          <w:sz w:val="24"/>
          <w:szCs w:val="24"/>
          <w:lang w:val="en-GB"/>
        </w:rPr>
        <w:t xml:space="preserve">to practice hypobiosis, i.e., the </w:t>
      </w:r>
      <w:r w:rsidR="00F22C0A" w:rsidRPr="00883FC0">
        <w:rPr>
          <w:rFonts w:ascii="Arial" w:hAnsi="Arial" w:cs="Arial"/>
          <w:sz w:val="24"/>
          <w:szCs w:val="24"/>
          <w:lang w:val="en-GB"/>
        </w:rPr>
        <w:t>ability</w:t>
      </w:r>
      <w:r w:rsidRPr="00883FC0">
        <w:rPr>
          <w:rFonts w:ascii="Arial" w:hAnsi="Arial" w:cs="Arial"/>
          <w:sz w:val="24"/>
          <w:szCs w:val="24"/>
          <w:lang w:val="en-GB"/>
        </w:rPr>
        <w:t xml:space="preserve"> to </w:t>
      </w:r>
      <w:r w:rsidR="00F22C0A" w:rsidRPr="00883FC0">
        <w:rPr>
          <w:rFonts w:ascii="Arial" w:hAnsi="Arial" w:cs="Arial"/>
          <w:sz w:val="24"/>
          <w:szCs w:val="24"/>
          <w:lang w:val="en-GB"/>
        </w:rPr>
        <w:t>halt</w:t>
      </w:r>
      <w:r w:rsidRPr="00883FC0">
        <w:rPr>
          <w:rFonts w:ascii="Arial" w:hAnsi="Arial" w:cs="Arial"/>
          <w:sz w:val="24"/>
          <w:szCs w:val="24"/>
          <w:lang w:val="en-GB"/>
        </w:rPr>
        <w:t xml:space="preserve"> embryonic development under environmental constraints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{"citationID":"a2nndm0fu8e","properties":{"formattedCitation":"(Gibbs, 1986)","plainCitation":"(Gibbs, 1986)","noteIndex":0},"citationItems":[{"id":4733,"uris":["http://zotero.org/users/local/NciqjDvn/items/VT5XWDVB"],"itemData":{"id":4733,"type":"chapter","abstract":"This chapter reviews the role of hypobiosis in the biology of nematodes. Successful transfer from an infected host to a susceptible one represents a most important achievement in the parasitic way of life. Any developmental adaptation that serves to facilitate this process is, therefore, extremely important in the epidemiology of these infections. Hypobiosis or facultative arrested development represents such an adaptation which, by facilitating the persistence of the larval forms for prolonged periods in the host, enables the parasite to capitalize on optimal opportunities for transfer. The phenomenon appears to be widespread among parasitic organisms. The chapter considers several aspects of this phenomenon as the species involved, factors associated with its induction as well as those influencing a resumption of development, implications of the phenomenon for understanding the epidemiology of these conditions, and its adaptive and population regulatory significance. Host resistance causes the arrested development and that resumption of development is a result of the relaxation of immunity. It is considered to be a host-regulated phenomenon that served to limit the size and pathogenicity of the population of worms, which is accumulating during the season of increasing larval availability. The chapter describes the types of hypobiosis, which include immune-mediated arrest and seasonally induced arrest.","container-title":"Advances in Parasitology","language":"en","note":"DOI: 10.1016/S0065-308X(08)60343-7","page":"129-174","publisher":"Academic Press","source":"ScienceDirect","title":"Hypobiosis in Parasitic Nematodes—An Update","URL":"https://www.sciencedirect.com/science/article/pii/S0065308X08603437","volume":"25","author":[{"family":"Gibbs","given":"Harold C."}],"editor":[{"family":"Baker","given":"J. R."},{"family":"Muller","given":"R."}],"accessed":{"date-parts":[["2023",3,9]]},"issued":{"date-parts":[["1986",1,1]]}}}],"schema":"https://github.com/citation-style-language/schema/raw/master/csl-citation.json"}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(Gibbs, 1986)</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Pr="00883FC0">
        <w:rPr>
          <w:rFonts w:ascii="Arial" w:hAnsi="Arial" w:cs="Arial"/>
          <w:i/>
          <w:sz w:val="24"/>
          <w:szCs w:val="24"/>
          <w:lang w:val="en-GB"/>
        </w:rPr>
        <w:t>H</w:t>
      </w:r>
      <w:r w:rsidR="00317797" w:rsidRPr="00883FC0">
        <w:rPr>
          <w:rFonts w:ascii="Arial" w:hAnsi="Arial" w:cs="Arial"/>
          <w:i/>
          <w:sz w:val="24"/>
          <w:szCs w:val="24"/>
          <w:lang w:val="en-GB"/>
        </w:rPr>
        <w:t>aemonchus</w:t>
      </w:r>
      <w:r w:rsidRPr="00883FC0">
        <w:rPr>
          <w:rFonts w:ascii="Arial" w:hAnsi="Arial" w:cs="Arial"/>
          <w:i/>
          <w:sz w:val="24"/>
          <w:szCs w:val="24"/>
          <w:lang w:val="en-GB"/>
        </w:rPr>
        <w:t xml:space="preserve"> contortus</w:t>
      </w:r>
      <w:r w:rsidRPr="00883FC0">
        <w:rPr>
          <w:rFonts w:ascii="Arial" w:hAnsi="Arial" w:cs="Arial"/>
          <w:sz w:val="24"/>
          <w:szCs w:val="24"/>
          <w:lang w:val="en-GB"/>
        </w:rPr>
        <w:t xml:space="preserve"> and </w:t>
      </w:r>
      <w:r w:rsidR="00317797" w:rsidRPr="00883FC0">
        <w:rPr>
          <w:rFonts w:ascii="Arial" w:hAnsi="Arial" w:cs="Arial"/>
          <w:i/>
          <w:iCs/>
          <w:sz w:val="24"/>
          <w:szCs w:val="24"/>
          <w:lang w:val="en-GB"/>
        </w:rPr>
        <w:t>Teladorsagia</w:t>
      </w:r>
      <w:r w:rsidRPr="00883FC0">
        <w:rPr>
          <w:rFonts w:ascii="Arial" w:hAnsi="Arial" w:cs="Arial"/>
          <w:i/>
          <w:iCs/>
          <w:sz w:val="24"/>
          <w:szCs w:val="24"/>
          <w:lang w:val="en-GB"/>
        </w:rPr>
        <w:t xml:space="preserve"> circumcincta</w:t>
      </w:r>
      <w:r w:rsidRPr="00883FC0">
        <w:rPr>
          <w:rFonts w:ascii="Arial" w:hAnsi="Arial" w:cs="Arial"/>
          <w:sz w:val="24"/>
          <w:szCs w:val="24"/>
          <w:lang w:val="en-GB"/>
        </w:rPr>
        <w:t xml:space="preserve"> are known to arrest development more frequently than </w:t>
      </w:r>
      <w:r w:rsidRPr="00883FC0">
        <w:rPr>
          <w:rFonts w:ascii="Arial" w:hAnsi="Arial" w:cs="Arial"/>
          <w:i/>
          <w:sz w:val="24"/>
          <w:szCs w:val="24"/>
          <w:lang w:val="en-GB"/>
        </w:rPr>
        <w:t>Trichostrongylus</w:t>
      </w:r>
      <w:r w:rsidRPr="00883FC0">
        <w:rPr>
          <w:rFonts w:ascii="Arial" w:hAnsi="Arial" w:cs="Arial"/>
          <w:sz w:val="24"/>
          <w:szCs w:val="24"/>
          <w:lang w:val="en-GB"/>
        </w:rPr>
        <w:t xml:space="preserve"> spp.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{"citationID":"aov2vtu8t4","properties":{"formattedCitation":"(Langrov\\uc0\\u225{} et al., 2008)","plainCitation":"(Langrová et al., 2008)","noteIndex":0},"citationItems":[{"id":4683,"uris":["http://zotero.org/users/local/NciqjDvn/items/Y4DHM7CZ"],"itemData":{"id":4683,"type":"article-journal","abstract":"Two tracer tests were conducted between August 2004 and March 2007 at an ecological farm in western Bohemia. The first tracer test was performed for the summer–autumn grazing period (onset of arrested development), the second for spring (resumption of arrested development). In the first tracer test, the percentage of nematodes arresting development over the winter months reached 87.7% for Teladorsagia circumcincta, 66.7% for Haemonchus contortus, 89.9% for Nematodirus filicollis, 21.6% for Trichostrongylus axei, and 23.9% for both Trichostrongylus vitrinus and Trichostrongylus colubriformis. None of the arrested larvae were observed with species Cooperia curticei, Nematodirus battus, and Oesophagostomum venulosum. In the second tracer test, a significant increase of adult worms was discovered in March of species T. circumcincta and N. filicollis and Trichostrongylus spp. in February. Redundancy analysis and generalized linear models analyses have confirmed that environmental conditions play a crucial role in hypobiosis of sheep strongyles in the Czech Republic. The analysis of influences of various environmental factors revealed that the number of arrested larvae was negatively influenced by light—day length, sunshine, or daylight decrease (p &lt; 0.01).","container-title":"Parasitology Research","DOI":"10.1007/s00436-008-0984-6","ISSN":"1432-1955","issue":"2","journalAbbreviation":"Parasitol Res","language":"en","page":"387-392","source":"Springer Link","title":"Arrested development of sheep strongyles: onset and resumption under field conditions of Central Europe","title-short":"Arrested development of sheep strongyles","volume":"103","author":[{"family":"Langrová","given":"Iva"},{"family":"Makovcová","given":"Kateřina"},{"family":"Vadlejch","given":"Jaroslav"},{"family":"Jankovská","given":"Ivana"},{"family":"Petrtýl","given":"Miloslav"},{"family":"Fechtner","given":"Jan"},{"family":"Keil","given":"Petr"},{"family":"Lytvynets","given":"Andriy"},{"family":"Borkovcová","given":"Marie"}],"issued":{"date-parts":[["2008",7,1]]}}}],"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(Langrová et al., 2008)</w:t>
      </w:r>
      <w:r w:rsidRPr="00883FC0">
        <w:rPr>
          <w:rFonts w:ascii="Arial" w:hAnsi="Arial" w:cs="Arial"/>
          <w:sz w:val="24"/>
          <w:szCs w:val="24"/>
          <w:lang w:val="en-GB"/>
        </w:rPr>
        <w:fldChar w:fldCharType="end"/>
      </w:r>
      <w:r w:rsidRPr="00883FC0">
        <w:rPr>
          <w:rFonts w:ascii="Arial" w:hAnsi="Arial" w:cs="Arial"/>
          <w:sz w:val="24"/>
          <w:szCs w:val="24"/>
          <w:lang w:val="en-GB"/>
        </w:rPr>
        <w:t xml:space="preserve">, and </w:t>
      </w:r>
      <w:proofErr w:type="spellStart"/>
      <w:r w:rsidRPr="00883FC0">
        <w:rPr>
          <w:rFonts w:ascii="Arial" w:hAnsi="Arial" w:cs="Arial"/>
          <w:sz w:val="24"/>
          <w:szCs w:val="24"/>
          <w:lang w:val="en-GB"/>
        </w:rPr>
        <w:t>hypobiotic</w:t>
      </w:r>
      <w:proofErr w:type="spellEnd"/>
      <w:r w:rsidRPr="00883FC0">
        <w:rPr>
          <w:rFonts w:ascii="Arial" w:hAnsi="Arial" w:cs="Arial"/>
          <w:sz w:val="24"/>
          <w:szCs w:val="24"/>
          <w:lang w:val="en-GB"/>
        </w:rPr>
        <w:t xml:space="preserve"> larvae</w:t>
      </w:r>
      <w:r w:rsidR="00F22C0A" w:rsidRPr="00883FC0">
        <w:rPr>
          <w:rFonts w:ascii="Arial" w:hAnsi="Arial" w:cs="Arial"/>
          <w:sz w:val="24"/>
          <w:szCs w:val="24"/>
          <w:lang w:val="en-GB"/>
        </w:rPr>
        <w:t xml:space="preserve"> have been shown to be</w:t>
      </w:r>
      <w:r w:rsidRPr="00883FC0">
        <w:rPr>
          <w:rFonts w:ascii="Arial" w:hAnsi="Arial" w:cs="Arial"/>
          <w:sz w:val="24"/>
          <w:szCs w:val="24"/>
          <w:lang w:val="en-GB"/>
        </w:rPr>
        <w:t xml:space="preserve"> less sensitive to drug</w:t>
      </w:r>
      <w:r w:rsidR="00B93ADC" w:rsidRPr="00883FC0">
        <w:rPr>
          <w:rFonts w:ascii="Arial" w:hAnsi="Arial" w:cs="Arial"/>
          <w:sz w:val="24"/>
          <w:szCs w:val="24"/>
          <w:lang w:val="en-GB"/>
        </w:rPr>
        <w:t>s</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{"citationID":"a59alsequ5","properties":{"formattedCitation":"(Sargison et al., 2007)","plainCitation":"(Sargison et al., 2007)","noteIndex":0},"citationItems":[{"id":4697,"uris":["http://zotero.org/users/local/NciqjDvn/items/8ICLE37N"],"itemData":{"id":4697,"type":"article-journal","abstract":"The cause of ill thrift and deaths was investigated in a group of 40 Scottish lowground ewes, which had been treated with levamisole and then turned onto clean grazing after lambing, 6–8 weeks previously. Concurrent haemonchosis and teladorsagiosis were diagnosed, putatively associated with the spring maturation of large numbers of hypobiotic larvae. Ill thrift due to parasitic gastroenteritis consequently occurred in the lambs which had been turned onto the ‘clean’ grazing with their dams, despite metaphylactic anthelmintic treatments. The contributory role of haemonchosis resulting in serious production-limiting disease is unusual in Scottish sheep flocks. It is suggested that the problem may have arisen as a consequence of the adaptation of Haemonchus contortus to survive overwinter in a cold climate as arrested early fourth stage larvae, which were not eliminated when the ewes were treated with levamisole at turnout.","container-title":"Veterinary Parasitology","DOI":"10.1016/j.vetpar.2007.04.011","ISSN":"0304-4017","issue":"3","journalAbbreviation":"Veterinary Parasitology","language":"en","page":"326-331","source":"ScienceDirect","title":"Haemonchosis and teladorsagiosis in a Scottish sheep flock putatively associated with the overwintering of hypobiotic fourth stage larvae","volume":"147","author":[{"family":"Sargison","given":"N. D."},{"family":"Wilson","given":"D. J."},{"family":"Bartley","given":"D. J."},{"family":"Penny","given":"C. D."},{"family":"Jackson","given":"F."}],"issued":{"date-parts":[["2007",7,20]]}}}],"schema":"https://github.com/citation-style-language/schema/raw/master/csl-citation.json"}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lang w:val="en-US"/>
        </w:rPr>
        <w:t>(Sargison et al., 2007)</w:t>
      </w:r>
      <w:r w:rsidRPr="00883FC0">
        <w:rPr>
          <w:rFonts w:ascii="Arial" w:hAnsi="Arial" w:cs="Arial"/>
          <w:sz w:val="24"/>
          <w:szCs w:val="24"/>
          <w:lang w:val="en-GB"/>
        </w:rPr>
        <w:fldChar w:fldCharType="end"/>
      </w:r>
      <w:r w:rsidRPr="00883FC0">
        <w:rPr>
          <w:rFonts w:ascii="Arial" w:hAnsi="Arial" w:cs="Arial"/>
          <w:sz w:val="24"/>
          <w:szCs w:val="24"/>
          <w:lang w:val="en-GB"/>
        </w:rPr>
        <w:t xml:space="preserve">. Secondly, </w:t>
      </w:r>
      <w:r w:rsidR="00F22C0A" w:rsidRPr="00883FC0">
        <w:rPr>
          <w:rFonts w:ascii="Arial" w:hAnsi="Arial" w:cs="Arial"/>
          <w:sz w:val="24"/>
          <w:szCs w:val="24"/>
          <w:lang w:val="en-GB"/>
        </w:rPr>
        <w:t>a</w:t>
      </w:r>
      <w:r w:rsidRPr="00883FC0">
        <w:rPr>
          <w:rFonts w:ascii="Arial" w:hAnsi="Arial" w:cs="Arial"/>
          <w:sz w:val="24"/>
          <w:szCs w:val="24"/>
          <w:lang w:val="en-GB"/>
        </w:rPr>
        <w:t xml:space="preserve">mong the </w:t>
      </w:r>
      <w:r w:rsidRPr="00883FC0">
        <w:rPr>
          <w:rFonts w:ascii="Arial" w:hAnsi="Arial" w:cs="Arial"/>
          <w:i/>
          <w:sz w:val="24"/>
          <w:szCs w:val="24"/>
          <w:lang w:val="en-GB"/>
        </w:rPr>
        <w:t xml:space="preserve">Trichostrongylus </w:t>
      </w:r>
      <w:r w:rsidRPr="00883FC0">
        <w:rPr>
          <w:rFonts w:ascii="Arial" w:hAnsi="Arial" w:cs="Arial"/>
          <w:sz w:val="24"/>
          <w:szCs w:val="24"/>
          <w:lang w:val="en-GB"/>
        </w:rPr>
        <w:t xml:space="preserve">spp.,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vitrinus </w:t>
      </w:r>
      <w:r w:rsidRPr="00883FC0">
        <w:rPr>
          <w:rFonts w:ascii="Arial" w:hAnsi="Arial" w:cs="Arial"/>
          <w:sz w:val="24"/>
          <w:szCs w:val="24"/>
          <w:lang w:val="en-GB"/>
        </w:rPr>
        <w:t>may have a higher proportion of overwinter</w:t>
      </w:r>
      <w:r w:rsidR="00F22C0A" w:rsidRPr="00883FC0">
        <w:rPr>
          <w:rFonts w:ascii="Arial" w:hAnsi="Arial" w:cs="Arial"/>
          <w:sz w:val="24"/>
          <w:szCs w:val="24"/>
          <w:lang w:val="en-GB"/>
        </w:rPr>
        <w:t>ing</w:t>
      </w:r>
      <w:r w:rsidRPr="00883FC0">
        <w:rPr>
          <w:rFonts w:ascii="Arial" w:hAnsi="Arial" w:cs="Arial"/>
          <w:sz w:val="24"/>
          <w:szCs w:val="24"/>
          <w:lang w:val="en-GB"/>
        </w:rPr>
        <w:t xml:space="preserve"> larvae </w:t>
      </w:r>
      <w:r w:rsidR="00F22C0A" w:rsidRPr="00883FC0">
        <w:rPr>
          <w:rFonts w:ascii="Arial" w:hAnsi="Arial" w:cs="Arial"/>
          <w:sz w:val="24"/>
          <w:szCs w:val="24"/>
          <w:lang w:val="en-GB"/>
        </w:rPr>
        <w:t>i</w:t>
      </w:r>
      <w:r w:rsidRPr="00883FC0">
        <w:rPr>
          <w:rFonts w:ascii="Arial" w:hAnsi="Arial" w:cs="Arial"/>
          <w:sz w:val="24"/>
          <w:szCs w:val="24"/>
          <w:lang w:val="en-GB"/>
        </w:rPr>
        <w:t>n pasture</w:t>
      </w:r>
      <w:r w:rsidR="00F22C0A" w:rsidRPr="00883FC0">
        <w:rPr>
          <w:rFonts w:ascii="Arial" w:hAnsi="Arial" w:cs="Arial"/>
          <w:sz w:val="24"/>
          <w:szCs w:val="24"/>
          <w:lang w:val="en-GB"/>
        </w:rPr>
        <w:t>s</w:t>
      </w:r>
      <w:r w:rsidRPr="00883FC0">
        <w:rPr>
          <w:rFonts w:ascii="Arial" w:hAnsi="Arial" w:cs="Arial"/>
          <w:sz w:val="24"/>
          <w:szCs w:val="24"/>
          <w:lang w:val="en-GB"/>
        </w:rPr>
        <w:t xml:space="preserve"> as this species is more resistant to cold temperature compared to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axei</w:t>
      </w:r>
      <w:r w:rsidRPr="00883FC0">
        <w:rPr>
          <w:rFonts w:ascii="Arial" w:hAnsi="Arial" w:cs="Arial"/>
          <w:sz w:val="24"/>
          <w:szCs w:val="24"/>
          <w:lang w:val="en-GB"/>
        </w:rPr>
        <w:t xml:space="preserve"> and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colubriformis</w:t>
      </w:r>
      <w:r w:rsidRPr="00883FC0">
        <w:rPr>
          <w:rFonts w:ascii="Arial" w:hAnsi="Arial" w:cs="Arial"/>
          <w:sz w:val="24"/>
          <w:szCs w:val="24"/>
          <w:lang w:val="en-GB"/>
        </w:rPr>
        <w:t xml:space="preserve"> </w:t>
      </w:r>
      <w:r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{"citationID":"a2pbpsmflhi","properties":{"formattedCitation":"(O\\uc0\\u8217{}Connor et al., 2006)","plainCitation":"(O’Connor et al., 2006)","noteIndex":0},"citationItems":[{"id":1341,"uris":["http://zotero.org/users/local/NciqjDvn/items/3RJNMR4E"],"itemData":{"id":1341,"type":"article-journal","abstract":"Significant developments over recent decades make it timely to review the ecology of the major gastrointestinal nematode (GIN) species of sheep. These include the relentless development and spread of anthelmintic resistance in all of the major sheep production regions of the world, and the consequent drive towards integrated parasite management (IPM) systems incorporating non-chemotherapeutic strategies such as grazing management. The success of such programs is dependent on a detailed understanding of the environmental influences on the free-living stages of the nematode lifecycle. Major reviews of the subject were conducted prior to 1980, however considerable work has been completed since, including the development of mathematical models describing the epidemiology of GIN infection. Knowledge of the temperature thresholds for free-living development has also improved, while investigations of moisture influences and interactions with temperature have allowed more effective exploitation of environmental effects for IPM. This review re-evaluates our understanding of the factors that determine the success or failure of the free-living phases of the lifecycle in light of these developments. Temperature and moisture are the dominant influences on the free-living stages of Haemonchus contortus, Teladorsagia circumcincta and Trichostrongylus colubriformis, with the effects of pasture conditions playing a significant modulating role. Early in the free-living phase, the developmental success of the three GIN species is limited by susceptibility to cold temperatures. In general, H. contortus is most susceptible, followed by T. colubriformis and then T. circumcincta. The length of the development cycle is dependent largely on temperature, with development rate increasing at warmer temperatures. However, in order for development to proceed to the infective larval stage, addition of moisture is generally required. There has been considerably less work quantifying the effects of moisture on free-living development, although it is clear that H. contortus is most susceptible to desiccation during the pre-infective stages. Once the infective stage is reached, the influences of temperature and moisture on survival are less important, resulting in considerable survival times under conditions lethal to pre-infective stages. However, hot, dry conditions can be lethal for infective larvae of all three species, while extreme cold is also lethal with significant species variation. While the existing body of knowledge is substantial, the interpretation of many studies and comparison between them is complicated by inadequate description of, or variation in, the environmental measurements used. Confounding the effects of environmental variables on development to infective stage is the migration of larvae from the faeces and subsequent survival on pasture. There is a need to build on recent efforts to explore interaction between the effects of temperature and moisture, and also the trend to more closely simulate field conditions in laboratory studies. We propose a logical framework for future ecological investigations to overcome some of these problems, facilitate the development of a more integrated dataset on the subject and improve prediction of free-living development.","container-title":"Veterinary Parasitology","DOI":"10.1016/j.vetpar.2006.08.035","ISSN":"0304-4017","issue":"1","journalAbbreviation":"Vet. Parasitol","language":"en","page":"1-15","source":"ScienceDirect","title":"Ecology of the free-living stages of major trichostrongylid parasites of sheep","volume":"142","author":[{"family":"O’Connor","given":"Lauren J."},{"family":"Walkden-Brown","given":"Stephen W."},{"family":"Kahn","given":"Lewis P."}],"issued":{"date-parts":[["2006",11,30]]}}}],"schema":"https://github.com/citation-style-language/schema/raw/master/csl-citation.json"} </w:instrText>
      </w:r>
      <w:r w:rsidRPr="00883FC0">
        <w:rPr>
          <w:rFonts w:ascii="Arial" w:hAnsi="Arial" w:cs="Arial"/>
          <w:sz w:val="24"/>
          <w:szCs w:val="24"/>
          <w:lang w:val="en-GB"/>
        </w:rPr>
        <w:fldChar w:fldCharType="separate"/>
      </w:r>
      <w:r w:rsidR="00991FDE" w:rsidRPr="00883FC0">
        <w:rPr>
          <w:rFonts w:ascii="Arial" w:hAnsi="Arial" w:cs="Arial"/>
          <w:sz w:val="24"/>
          <w:szCs w:val="24"/>
          <w:lang w:val="en-US"/>
        </w:rPr>
        <w:t>(O’Connor et al., 2006)</w:t>
      </w:r>
      <w:r w:rsidRPr="00883FC0">
        <w:rPr>
          <w:rFonts w:ascii="Arial" w:hAnsi="Arial" w:cs="Arial"/>
          <w:sz w:val="24"/>
          <w:szCs w:val="24"/>
          <w:lang w:val="en-GB"/>
        </w:rPr>
        <w:fldChar w:fldCharType="end"/>
      </w:r>
      <w:r w:rsidRPr="00883FC0">
        <w:rPr>
          <w:rFonts w:ascii="Arial" w:hAnsi="Arial" w:cs="Arial"/>
          <w:sz w:val="24"/>
          <w:szCs w:val="24"/>
          <w:lang w:val="en-GB"/>
        </w:rPr>
        <w:t xml:space="preserve">. </w:t>
      </w:r>
      <w:r w:rsidR="00F22C0A" w:rsidRPr="00883FC0">
        <w:rPr>
          <w:rFonts w:ascii="Arial" w:hAnsi="Arial" w:cs="Arial"/>
          <w:sz w:val="24"/>
          <w:szCs w:val="24"/>
          <w:lang w:val="en-GB"/>
        </w:rPr>
        <w:t>As</w:t>
      </w:r>
      <w:r w:rsidRPr="00883FC0">
        <w:rPr>
          <w:rFonts w:ascii="Arial" w:hAnsi="Arial" w:cs="Arial"/>
          <w:sz w:val="24"/>
          <w:szCs w:val="24"/>
          <w:lang w:val="en-GB"/>
        </w:rPr>
        <w:t xml:space="preserve"> parasites on pasture</w:t>
      </w:r>
      <w:r w:rsidR="00B93ADC" w:rsidRPr="00883FC0">
        <w:rPr>
          <w:rFonts w:ascii="Arial" w:hAnsi="Arial" w:cs="Arial"/>
          <w:sz w:val="24"/>
          <w:szCs w:val="24"/>
          <w:lang w:val="en-GB"/>
        </w:rPr>
        <w:t>s</w:t>
      </w:r>
      <w:r w:rsidRPr="00883FC0">
        <w:rPr>
          <w:rFonts w:ascii="Arial" w:hAnsi="Arial" w:cs="Arial"/>
          <w:sz w:val="24"/>
          <w:szCs w:val="24"/>
          <w:lang w:val="en-GB"/>
        </w:rPr>
        <w:t xml:space="preserve"> </w:t>
      </w:r>
      <w:r w:rsidR="00286F0B" w:rsidRPr="00286F0B">
        <w:rPr>
          <w:rFonts w:ascii="Arial" w:hAnsi="Arial" w:cs="Arial"/>
          <w:sz w:val="24"/>
          <w:szCs w:val="24"/>
          <w:highlight w:val="yellow"/>
          <w:lang w:val="en-GB"/>
        </w:rPr>
        <w:t>may be</w:t>
      </w:r>
      <w:r w:rsidR="00286F0B">
        <w:rPr>
          <w:rFonts w:ascii="Arial" w:hAnsi="Arial" w:cs="Arial"/>
          <w:sz w:val="24"/>
          <w:szCs w:val="24"/>
          <w:lang w:val="en-GB"/>
        </w:rPr>
        <w:t xml:space="preserve"> </w:t>
      </w:r>
      <w:r w:rsidR="0086555D" w:rsidRPr="00883FC0">
        <w:rPr>
          <w:rFonts w:ascii="Arial" w:hAnsi="Arial" w:cs="Arial"/>
          <w:sz w:val="24"/>
          <w:szCs w:val="24"/>
          <w:lang w:val="en-GB"/>
        </w:rPr>
        <w:t>less</w:t>
      </w:r>
      <w:r w:rsidRPr="00883FC0">
        <w:rPr>
          <w:rFonts w:ascii="Arial" w:hAnsi="Arial" w:cs="Arial"/>
          <w:sz w:val="24"/>
          <w:szCs w:val="24"/>
          <w:lang w:val="en-GB"/>
        </w:rPr>
        <w:t xml:space="preserve"> </w:t>
      </w:r>
      <w:r w:rsidR="00F22C0A" w:rsidRPr="00883FC0">
        <w:rPr>
          <w:rFonts w:ascii="Arial" w:hAnsi="Arial" w:cs="Arial"/>
          <w:sz w:val="24"/>
          <w:szCs w:val="24"/>
          <w:lang w:val="en-GB"/>
        </w:rPr>
        <w:t xml:space="preserve">subject to </w:t>
      </w:r>
      <w:r w:rsidRPr="00883FC0">
        <w:rPr>
          <w:rFonts w:ascii="Arial" w:hAnsi="Arial" w:cs="Arial"/>
          <w:sz w:val="24"/>
          <w:szCs w:val="24"/>
          <w:lang w:val="en-GB"/>
        </w:rPr>
        <w:t>selection pressure by anthelmintic</w:t>
      </w:r>
      <w:r w:rsidR="00F22C0A" w:rsidRPr="00883FC0">
        <w:rPr>
          <w:rFonts w:ascii="Arial" w:hAnsi="Arial" w:cs="Arial"/>
          <w:sz w:val="24"/>
          <w:szCs w:val="24"/>
          <w:lang w:val="en-GB"/>
        </w:rPr>
        <w:t>s</w:t>
      </w:r>
      <w:r w:rsidRPr="00883FC0">
        <w:rPr>
          <w:rFonts w:ascii="Arial" w:hAnsi="Arial" w:cs="Arial"/>
          <w:sz w:val="24"/>
          <w:szCs w:val="24"/>
          <w:lang w:val="en-GB"/>
        </w:rPr>
        <w:t>, they</w:t>
      </w:r>
      <w:r w:rsidR="00286F0B">
        <w:rPr>
          <w:rFonts w:ascii="Arial" w:hAnsi="Arial" w:cs="Arial"/>
          <w:sz w:val="24"/>
          <w:szCs w:val="24"/>
          <w:lang w:val="en-GB"/>
        </w:rPr>
        <w:t xml:space="preserve"> </w:t>
      </w:r>
      <w:r w:rsidR="00286F0B" w:rsidRPr="00286F0B">
        <w:rPr>
          <w:rFonts w:ascii="Arial" w:hAnsi="Arial" w:cs="Arial"/>
          <w:sz w:val="24"/>
          <w:szCs w:val="24"/>
          <w:highlight w:val="yellow"/>
          <w:lang w:val="en-GB"/>
        </w:rPr>
        <w:t>could be</w:t>
      </w:r>
      <w:r w:rsidRPr="00883FC0">
        <w:rPr>
          <w:rFonts w:ascii="Arial" w:hAnsi="Arial" w:cs="Arial"/>
          <w:sz w:val="24"/>
          <w:szCs w:val="24"/>
          <w:lang w:val="en-GB"/>
        </w:rPr>
        <w:t xml:space="preserve"> a source of susceptible strains.</w:t>
      </w:r>
    </w:p>
    <w:bookmarkEnd w:id="50"/>
    <w:p w14:paraId="1F6C0367" w14:textId="3260B110" w:rsidR="003E01B7" w:rsidRPr="00883FC0" w:rsidRDefault="003E01B7"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 xml:space="preserve">As the proportion of resistant strains </w:t>
      </w:r>
      <w:r w:rsidR="00F22C0A" w:rsidRPr="00883FC0">
        <w:rPr>
          <w:rFonts w:ascii="Arial" w:hAnsi="Arial" w:cs="Arial"/>
          <w:sz w:val="24"/>
          <w:szCs w:val="24"/>
          <w:lang w:val="en-GB"/>
        </w:rPr>
        <w:t>is</w:t>
      </w:r>
      <w:r w:rsidRPr="00883FC0">
        <w:rPr>
          <w:rFonts w:ascii="Arial" w:hAnsi="Arial" w:cs="Arial"/>
          <w:sz w:val="24"/>
          <w:szCs w:val="24"/>
          <w:lang w:val="en-GB"/>
        </w:rPr>
        <w:t xml:space="preserve"> generally lower in ibex compared to sheep, ibex may contribute</w:t>
      </w:r>
      <w:r w:rsidR="00972C2A" w:rsidRPr="00883FC0">
        <w:rPr>
          <w:rFonts w:ascii="Arial" w:hAnsi="Arial" w:cs="Arial"/>
          <w:sz w:val="24"/>
          <w:szCs w:val="24"/>
          <w:lang w:val="en-GB"/>
        </w:rPr>
        <w:t xml:space="preserve"> </w:t>
      </w:r>
      <w:r w:rsidRPr="00883FC0">
        <w:rPr>
          <w:rFonts w:ascii="Arial" w:hAnsi="Arial" w:cs="Arial"/>
          <w:sz w:val="24"/>
          <w:szCs w:val="24"/>
          <w:lang w:val="en-GB"/>
        </w:rPr>
        <w:t>to a dilution effect of resistant strains, i.e., by hosting susceptible nematodes. However, the role of ibex in the maintenance of a refugia need</w:t>
      </w:r>
      <w:r w:rsidR="00F22C0A" w:rsidRPr="00883FC0">
        <w:rPr>
          <w:rFonts w:ascii="Arial" w:hAnsi="Arial" w:cs="Arial"/>
          <w:sz w:val="24"/>
          <w:szCs w:val="24"/>
          <w:lang w:val="en-GB"/>
        </w:rPr>
        <w:t>s</w:t>
      </w:r>
      <w:r w:rsidRPr="00883FC0">
        <w:rPr>
          <w:rFonts w:ascii="Arial" w:hAnsi="Arial" w:cs="Arial"/>
          <w:sz w:val="24"/>
          <w:szCs w:val="24"/>
          <w:lang w:val="en-GB"/>
        </w:rPr>
        <w:t xml:space="preserve"> to be investigated by considering the relative number of susceptible strains deposited by ibex </w:t>
      </w:r>
      <w:r w:rsidR="00F22C0A" w:rsidRPr="00883FC0">
        <w:rPr>
          <w:rFonts w:ascii="Arial" w:hAnsi="Arial" w:cs="Arial"/>
          <w:sz w:val="24"/>
          <w:szCs w:val="24"/>
          <w:lang w:val="en-GB"/>
        </w:rPr>
        <w:t>o</w:t>
      </w:r>
      <w:r w:rsidRPr="00883FC0">
        <w:rPr>
          <w:rFonts w:ascii="Arial" w:hAnsi="Arial" w:cs="Arial"/>
          <w:sz w:val="24"/>
          <w:szCs w:val="24"/>
          <w:lang w:val="en-GB"/>
        </w:rPr>
        <w:t xml:space="preserve">n </w:t>
      </w:r>
      <w:r w:rsidR="00B93ADC" w:rsidRPr="00883FC0">
        <w:rPr>
          <w:rFonts w:ascii="Arial" w:hAnsi="Arial" w:cs="Arial"/>
          <w:sz w:val="24"/>
          <w:szCs w:val="24"/>
          <w:lang w:val="en-GB"/>
        </w:rPr>
        <w:t xml:space="preserve">a </w:t>
      </w:r>
      <w:r w:rsidRPr="00883FC0">
        <w:rPr>
          <w:rFonts w:ascii="Arial" w:hAnsi="Arial" w:cs="Arial"/>
          <w:sz w:val="24"/>
          <w:szCs w:val="24"/>
          <w:lang w:val="en-GB"/>
        </w:rPr>
        <w:t xml:space="preserve">pasture compared </w:t>
      </w:r>
      <w:r w:rsidR="00F22C0A" w:rsidRPr="00883FC0">
        <w:rPr>
          <w:rFonts w:ascii="Arial" w:hAnsi="Arial" w:cs="Arial"/>
          <w:sz w:val="24"/>
          <w:szCs w:val="24"/>
          <w:lang w:val="en-GB"/>
        </w:rPr>
        <w:t>with</w:t>
      </w:r>
      <w:r w:rsidRPr="00883FC0">
        <w:rPr>
          <w:rFonts w:ascii="Arial" w:hAnsi="Arial" w:cs="Arial"/>
          <w:sz w:val="24"/>
          <w:szCs w:val="24"/>
          <w:lang w:val="en-GB"/>
        </w:rPr>
        <w:t xml:space="preserve"> sheep. </w:t>
      </w:r>
      <w:r w:rsidR="00F22C0A" w:rsidRPr="00883FC0">
        <w:rPr>
          <w:rFonts w:ascii="Arial" w:hAnsi="Arial" w:cs="Arial"/>
          <w:sz w:val="24"/>
          <w:szCs w:val="24"/>
          <w:lang w:val="en-GB"/>
        </w:rPr>
        <w:t>Furthermore</w:t>
      </w:r>
      <w:r w:rsidRPr="00883FC0">
        <w:rPr>
          <w:rFonts w:ascii="Arial" w:hAnsi="Arial" w:cs="Arial"/>
          <w:sz w:val="24"/>
          <w:szCs w:val="24"/>
          <w:lang w:val="en-GB"/>
        </w:rPr>
        <w:t xml:space="preserve">, it seems that the role of ibex in the maintenance of a refugia </w:t>
      </w:r>
      <w:r w:rsidR="00B93ADC" w:rsidRPr="00883FC0">
        <w:rPr>
          <w:rFonts w:ascii="Arial" w:hAnsi="Arial" w:cs="Arial"/>
          <w:sz w:val="24"/>
          <w:szCs w:val="24"/>
          <w:lang w:val="en-GB"/>
        </w:rPr>
        <w:t xml:space="preserve">may </w:t>
      </w:r>
      <w:r w:rsidRPr="00883FC0">
        <w:rPr>
          <w:rFonts w:ascii="Arial" w:hAnsi="Arial" w:cs="Arial"/>
          <w:sz w:val="24"/>
          <w:szCs w:val="24"/>
          <w:lang w:val="en-GB"/>
        </w:rPr>
        <w:t xml:space="preserve">vary according to nematode species. For </w:t>
      </w:r>
      <w:r w:rsidR="00F22C0A" w:rsidRPr="00883FC0">
        <w:rPr>
          <w:rFonts w:ascii="Arial" w:hAnsi="Arial" w:cs="Arial"/>
          <w:sz w:val="24"/>
          <w:szCs w:val="24"/>
          <w:lang w:val="en-GB"/>
        </w:rPr>
        <w:t>example</w:t>
      </w:r>
      <w:r w:rsidRPr="00883FC0">
        <w:rPr>
          <w:rFonts w:ascii="Arial" w:hAnsi="Arial" w:cs="Arial"/>
          <w:sz w:val="24"/>
          <w:szCs w:val="24"/>
          <w:lang w:val="en-GB"/>
        </w:rPr>
        <w:t xml:space="preserve">, ibex </w:t>
      </w:r>
      <w:r w:rsidR="00F22C0A" w:rsidRPr="00883FC0">
        <w:rPr>
          <w:rFonts w:ascii="Arial" w:hAnsi="Arial" w:cs="Arial"/>
          <w:sz w:val="24"/>
          <w:szCs w:val="24"/>
          <w:lang w:val="en-GB"/>
        </w:rPr>
        <w:t>excrete</w:t>
      </w:r>
      <w:r w:rsidRPr="00883FC0">
        <w:rPr>
          <w:rFonts w:ascii="Arial" w:hAnsi="Arial" w:cs="Arial"/>
          <w:sz w:val="24"/>
          <w:szCs w:val="24"/>
          <w:lang w:val="en-GB"/>
        </w:rPr>
        <w:t xml:space="preserve"> a low</w:t>
      </w:r>
      <w:r w:rsidR="00F22C0A" w:rsidRPr="00883FC0">
        <w:rPr>
          <w:rFonts w:ascii="Arial" w:hAnsi="Arial" w:cs="Arial"/>
          <w:sz w:val="24"/>
          <w:szCs w:val="24"/>
          <w:lang w:val="en-GB"/>
        </w:rPr>
        <w:t>er</w:t>
      </w:r>
      <w:r w:rsidRPr="00883FC0">
        <w:rPr>
          <w:rFonts w:ascii="Arial" w:hAnsi="Arial" w:cs="Arial"/>
          <w:sz w:val="24"/>
          <w:szCs w:val="24"/>
          <w:lang w:val="en-GB"/>
        </w:rPr>
        <w:t xml:space="preserve"> proportion of </w:t>
      </w:r>
      <w:r w:rsidR="00317797" w:rsidRPr="00883FC0">
        <w:rPr>
          <w:rFonts w:ascii="Arial" w:hAnsi="Arial" w:cs="Arial"/>
          <w:i/>
          <w:sz w:val="24"/>
          <w:szCs w:val="24"/>
          <w:lang w:val="en-GB"/>
        </w:rPr>
        <w:t>Trichostrongylus</w:t>
      </w:r>
      <w:r w:rsidRPr="00883FC0">
        <w:rPr>
          <w:rFonts w:ascii="Arial" w:hAnsi="Arial" w:cs="Arial"/>
          <w:i/>
          <w:sz w:val="24"/>
          <w:szCs w:val="24"/>
          <w:lang w:val="en-GB"/>
        </w:rPr>
        <w:t xml:space="preserve"> axei</w:t>
      </w:r>
      <w:r w:rsidRPr="00883FC0">
        <w:rPr>
          <w:rFonts w:ascii="Arial" w:hAnsi="Arial" w:cs="Arial"/>
          <w:sz w:val="24"/>
          <w:szCs w:val="24"/>
          <w:lang w:val="en-GB"/>
        </w:rPr>
        <w:t xml:space="preserve"> eggs </w:t>
      </w:r>
      <w:r w:rsidR="00F22C0A" w:rsidRPr="00883FC0">
        <w:rPr>
          <w:rFonts w:ascii="Arial" w:hAnsi="Arial" w:cs="Arial"/>
          <w:sz w:val="24"/>
          <w:szCs w:val="24"/>
          <w:lang w:val="en-GB"/>
        </w:rPr>
        <w:t>than</w:t>
      </w:r>
      <w:r w:rsidRPr="00883FC0">
        <w:rPr>
          <w:rFonts w:ascii="Arial" w:hAnsi="Arial" w:cs="Arial"/>
          <w:sz w:val="24"/>
          <w:szCs w:val="24"/>
          <w:lang w:val="en-GB"/>
        </w:rPr>
        <w:t xml:space="preserve"> sheep (</w:t>
      </w:r>
      <w:r w:rsidR="00577DBD" w:rsidRPr="00883FC0">
        <w:rPr>
          <w:rFonts w:ascii="Arial" w:hAnsi="Arial" w:cs="Arial"/>
          <w:sz w:val="24"/>
          <w:szCs w:val="24"/>
          <w:lang w:val="en-GB"/>
        </w:rPr>
        <w:t>Figure 2</w:t>
      </w:r>
      <w:r w:rsidRPr="00883FC0">
        <w:rPr>
          <w:rFonts w:ascii="Arial" w:hAnsi="Arial" w:cs="Arial"/>
          <w:sz w:val="24"/>
          <w:szCs w:val="24"/>
          <w:lang w:val="en-GB"/>
        </w:rPr>
        <w:t xml:space="preserve">a), </w:t>
      </w:r>
      <w:r w:rsidR="00B93ADC" w:rsidRPr="00883FC0">
        <w:rPr>
          <w:rFonts w:ascii="Arial" w:hAnsi="Arial" w:cs="Arial"/>
          <w:sz w:val="24"/>
          <w:szCs w:val="24"/>
          <w:lang w:val="en-GB"/>
        </w:rPr>
        <w:t>but</w:t>
      </w:r>
      <w:r w:rsidR="00102B5D">
        <w:rPr>
          <w:rFonts w:ascii="Arial" w:hAnsi="Arial" w:cs="Arial"/>
          <w:sz w:val="24"/>
          <w:szCs w:val="24"/>
          <w:lang w:val="en-GB"/>
        </w:rPr>
        <w:t xml:space="preserve"> </w:t>
      </w:r>
      <w:r w:rsidR="00102B5D" w:rsidRPr="00102B5D">
        <w:rPr>
          <w:rFonts w:ascii="Arial" w:hAnsi="Arial" w:cs="Arial"/>
          <w:sz w:val="24"/>
          <w:szCs w:val="24"/>
          <w:highlight w:val="yellow"/>
          <w:lang w:val="en-GB"/>
        </w:rPr>
        <w:t>these eggs</w:t>
      </w:r>
      <w:r w:rsidR="00B93ADC" w:rsidRPr="00883FC0">
        <w:rPr>
          <w:rFonts w:ascii="Arial" w:hAnsi="Arial" w:cs="Arial"/>
          <w:sz w:val="24"/>
          <w:szCs w:val="24"/>
          <w:lang w:val="en-GB"/>
        </w:rPr>
        <w:t xml:space="preserve"> largely</w:t>
      </w:r>
      <w:r w:rsidR="00102B5D">
        <w:rPr>
          <w:rFonts w:ascii="Arial" w:hAnsi="Arial" w:cs="Arial"/>
          <w:sz w:val="24"/>
          <w:szCs w:val="24"/>
          <w:lang w:val="en-GB"/>
        </w:rPr>
        <w:t xml:space="preserve"> </w:t>
      </w:r>
      <w:r w:rsidR="00102B5D" w:rsidRPr="00102B5D">
        <w:rPr>
          <w:rFonts w:ascii="Arial" w:hAnsi="Arial" w:cs="Arial"/>
          <w:sz w:val="24"/>
          <w:szCs w:val="24"/>
          <w:highlight w:val="yellow"/>
          <w:lang w:val="en-GB"/>
        </w:rPr>
        <w:t>contain</w:t>
      </w:r>
      <w:r w:rsidRPr="00883FC0">
        <w:rPr>
          <w:rFonts w:ascii="Arial" w:hAnsi="Arial" w:cs="Arial"/>
          <w:sz w:val="24"/>
          <w:szCs w:val="24"/>
          <w:lang w:val="en-GB"/>
        </w:rPr>
        <w:t xml:space="preserve"> resistant strains (</w:t>
      </w:r>
      <w:r w:rsidR="00577DBD" w:rsidRPr="00883FC0">
        <w:rPr>
          <w:rFonts w:ascii="Arial" w:hAnsi="Arial" w:cs="Arial"/>
          <w:sz w:val="24"/>
          <w:szCs w:val="24"/>
          <w:lang w:val="en-GB"/>
        </w:rPr>
        <w:t>Figure 2</w:t>
      </w:r>
      <w:r w:rsidRPr="00883FC0">
        <w:rPr>
          <w:rFonts w:ascii="Arial" w:hAnsi="Arial" w:cs="Arial"/>
          <w:sz w:val="24"/>
          <w:szCs w:val="24"/>
          <w:lang w:val="en-GB"/>
        </w:rPr>
        <w:t xml:space="preserve">c). In contrast, </w:t>
      </w:r>
      <w:r w:rsidR="00317797" w:rsidRPr="00883FC0">
        <w:rPr>
          <w:rFonts w:ascii="Arial" w:hAnsi="Arial" w:cs="Arial"/>
          <w:i/>
          <w:iCs/>
          <w:sz w:val="24"/>
          <w:szCs w:val="24"/>
          <w:lang w:val="en-GB"/>
        </w:rPr>
        <w:t>Teladorsagia</w:t>
      </w:r>
      <w:r w:rsidRPr="00883FC0">
        <w:rPr>
          <w:rFonts w:ascii="Arial" w:hAnsi="Arial" w:cs="Arial"/>
          <w:i/>
          <w:sz w:val="24"/>
          <w:szCs w:val="24"/>
          <w:lang w:val="en-GB"/>
        </w:rPr>
        <w:t xml:space="preserve"> </w:t>
      </w:r>
      <w:r w:rsidRPr="00883FC0">
        <w:rPr>
          <w:rFonts w:ascii="Arial" w:hAnsi="Arial" w:cs="Arial"/>
          <w:i/>
          <w:sz w:val="24"/>
          <w:szCs w:val="24"/>
          <w:lang w:val="en-GB"/>
        </w:rPr>
        <w:lastRenderedPageBreak/>
        <w:t xml:space="preserve">circumcincta </w:t>
      </w:r>
      <w:r w:rsidRPr="00883FC0">
        <w:rPr>
          <w:rFonts w:ascii="Arial" w:hAnsi="Arial" w:cs="Arial"/>
          <w:sz w:val="24"/>
          <w:szCs w:val="24"/>
          <w:lang w:val="en-GB"/>
        </w:rPr>
        <w:t xml:space="preserve">and </w:t>
      </w:r>
      <w:r w:rsidR="00317797" w:rsidRPr="00883FC0">
        <w:rPr>
          <w:rFonts w:ascii="Arial" w:hAnsi="Arial" w:cs="Arial"/>
          <w:i/>
          <w:sz w:val="24"/>
          <w:szCs w:val="24"/>
          <w:lang w:val="en-GB"/>
        </w:rPr>
        <w:t>Haemonchus</w:t>
      </w:r>
      <w:r w:rsidRPr="00883FC0">
        <w:rPr>
          <w:rFonts w:ascii="Arial" w:hAnsi="Arial" w:cs="Arial"/>
          <w:i/>
          <w:sz w:val="24"/>
          <w:szCs w:val="24"/>
          <w:lang w:val="en-GB"/>
        </w:rPr>
        <w:t xml:space="preserve"> contortus</w:t>
      </w:r>
      <w:r w:rsidRPr="00883FC0">
        <w:rPr>
          <w:rFonts w:ascii="Arial" w:hAnsi="Arial" w:cs="Arial"/>
          <w:sz w:val="24"/>
          <w:szCs w:val="24"/>
          <w:lang w:val="en-GB"/>
        </w:rPr>
        <w:t xml:space="preserve"> in ibex were more frequently susceptible and genetically diverse (higher number of ITS2 and β-tubulin ASVs) compared </w:t>
      </w:r>
      <w:r w:rsidR="00F22C0A" w:rsidRPr="00883FC0">
        <w:rPr>
          <w:rFonts w:ascii="Arial" w:hAnsi="Arial" w:cs="Arial"/>
          <w:sz w:val="24"/>
          <w:szCs w:val="24"/>
          <w:lang w:val="en-GB"/>
        </w:rPr>
        <w:t>with</w:t>
      </w:r>
      <w:r w:rsidRPr="00883FC0">
        <w:rPr>
          <w:rFonts w:ascii="Arial" w:hAnsi="Arial" w:cs="Arial"/>
          <w:sz w:val="24"/>
          <w:szCs w:val="24"/>
          <w:lang w:val="en-GB"/>
        </w:rPr>
        <w:t xml:space="preserve"> </w:t>
      </w:r>
      <w:proofErr w:type="spellStart"/>
      <w:r w:rsidR="00317797" w:rsidRPr="00883FC0">
        <w:rPr>
          <w:rFonts w:ascii="Arial" w:hAnsi="Arial" w:cs="Arial"/>
          <w:i/>
          <w:sz w:val="24"/>
          <w:szCs w:val="24"/>
          <w:lang w:val="en-GB"/>
        </w:rPr>
        <w:t>Trichostrongylus</w:t>
      </w:r>
      <w:proofErr w:type="spellEnd"/>
      <w:r w:rsidRPr="00883FC0">
        <w:rPr>
          <w:rFonts w:ascii="Arial" w:hAnsi="Arial" w:cs="Arial"/>
          <w:i/>
          <w:sz w:val="24"/>
          <w:szCs w:val="24"/>
          <w:lang w:val="en-GB"/>
        </w:rPr>
        <w:t xml:space="preserve"> </w:t>
      </w:r>
      <w:proofErr w:type="spellStart"/>
      <w:r w:rsidRPr="00883FC0">
        <w:rPr>
          <w:rFonts w:ascii="Arial" w:hAnsi="Arial" w:cs="Arial"/>
          <w:i/>
          <w:sz w:val="24"/>
          <w:szCs w:val="24"/>
          <w:lang w:val="en-GB"/>
        </w:rPr>
        <w:t>axei</w:t>
      </w:r>
      <w:proofErr w:type="spellEnd"/>
      <w:r w:rsidRPr="00883FC0">
        <w:rPr>
          <w:rFonts w:ascii="Arial" w:hAnsi="Arial" w:cs="Arial"/>
          <w:sz w:val="24"/>
          <w:szCs w:val="24"/>
          <w:lang w:val="en-GB"/>
        </w:rPr>
        <w:t xml:space="preserve"> and </w:t>
      </w:r>
      <w:proofErr w:type="spellStart"/>
      <w:r w:rsidR="00317797" w:rsidRPr="00883FC0">
        <w:rPr>
          <w:rFonts w:ascii="Arial" w:hAnsi="Arial" w:cs="Arial"/>
          <w:i/>
          <w:sz w:val="24"/>
          <w:szCs w:val="24"/>
          <w:lang w:val="en-GB"/>
        </w:rPr>
        <w:t>Trichostrongylus</w:t>
      </w:r>
      <w:proofErr w:type="spellEnd"/>
      <w:r w:rsidRPr="00883FC0">
        <w:rPr>
          <w:rFonts w:ascii="Arial" w:hAnsi="Arial" w:cs="Arial"/>
          <w:i/>
          <w:sz w:val="24"/>
          <w:szCs w:val="24"/>
          <w:lang w:val="en-GB"/>
        </w:rPr>
        <w:t xml:space="preserve"> </w:t>
      </w:r>
      <w:proofErr w:type="spellStart"/>
      <w:r w:rsidRPr="00883FC0">
        <w:rPr>
          <w:rFonts w:ascii="Arial" w:hAnsi="Arial" w:cs="Arial"/>
          <w:i/>
          <w:sz w:val="24"/>
          <w:szCs w:val="24"/>
          <w:lang w:val="en-GB"/>
        </w:rPr>
        <w:t>colubriformis</w:t>
      </w:r>
      <w:proofErr w:type="spellEnd"/>
      <w:r w:rsidRPr="00883FC0">
        <w:rPr>
          <w:rFonts w:ascii="Arial" w:hAnsi="Arial" w:cs="Arial"/>
          <w:i/>
          <w:sz w:val="24"/>
          <w:szCs w:val="24"/>
          <w:lang w:val="en-GB"/>
        </w:rPr>
        <w:t xml:space="preserve"> </w:t>
      </w:r>
      <w:r w:rsidR="00286F0B" w:rsidRPr="00286F0B">
        <w:rPr>
          <w:rFonts w:ascii="Arial" w:hAnsi="Arial" w:cs="Arial"/>
          <w:iCs/>
          <w:sz w:val="24"/>
          <w:szCs w:val="24"/>
          <w:highlight w:val="yellow"/>
          <w:lang w:val="en-GB"/>
        </w:rPr>
        <w:t>in</w:t>
      </w:r>
      <w:r w:rsidR="00286F0B">
        <w:rPr>
          <w:rFonts w:ascii="Arial" w:hAnsi="Arial" w:cs="Arial"/>
          <w:i/>
          <w:sz w:val="24"/>
          <w:szCs w:val="24"/>
          <w:lang w:val="en-GB"/>
        </w:rPr>
        <w:t xml:space="preserve"> </w:t>
      </w:r>
      <w:r w:rsidRPr="00883FC0">
        <w:rPr>
          <w:rFonts w:ascii="Arial" w:hAnsi="Arial" w:cs="Arial"/>
          <w:sz w:val="24"/>
          <w:szCs w:val="24"/>
          <w:lang w:val="en-GB"/>
        </w:rPr>
        <w:t>ibex (Tabl</w:t>
      </w:r>
      <w:r w:rsidR="00B63843" w:rsidRPr="00883FC0">
        <w:rPr>
          <w:rFonts w:ascii="Arial" w:hAnsi="Arial" w:cs="Arial"/>
          <w:sz w:val="24"/>
          <w:szCs w:val="24"/>
          <w:lang w:val="en-GB"/>
        </w:rPr>
        <w:t xml:space="preserve">e </w:t>
      </w:r>
      <w:r w:rsidR="006F5D22" w:rsidRPr="00883FC0">
        <w:rPr>
          <w:rFonts w:ascii="Arial" w:hAnsi="Arial" w:cs="Arial"/>
          <w:sz w:val="24"/>
          <w:szCs w:val="24"/>
          <w:lang w:val="en-GB"/>
        </w:rPr>
        <w:t>3</w:t>
      </w:r>
      <w:r w:rsidRPr="00883FC0">
        <w:rPr>
          <w:rFonts w:ascii="Arial" w:hAnsi="Arial" w:cs="Arial"/>
          <w:sz w:val="24"/>
          <w:szCs w:val="24"/>
          <w:lang w:val="en-GB"/>
        </w:rPr>
        <w:t>,</w:t>
      </w:r>
      <w:r w:rsidR="005A0760" w:rsidRPr="00883FC0">
        <w:rPr>
          <w:rFonts w:ascii="Arial" w:hAnsi="Arial" w:cs="Arial"/>
          <w:sz w:val="24"/>
          <w:szCs w:val="24"/>
          <w:lang w:val="en-GB"/>
        </w:rPr>
        <w:t xml:space="preserve"> Figure 3</w:t>
      </w:r>
      <w:r w:rsidRPr="00883FC0">
        <w:rPr>
          <w:rFonts w:ascii="Arial" w:hAnsi="Arial" w:cs="Arial"/>
          <w:sz w:val="24"/>
          <w:szCs w:val="24"/>
          <w:lang w:val="en-GB"/>
        </w:rPr>
        <w:t xml:space="preserve">). </w:t>
      </w:r>
      <w:bookmarkStart w:id="51" w:name="_Hlk161577595"/>
      <w:r w:rsidRPr="00883FC0">
        <w:rPr>
          <w:rFonts w:ascii="Arial" w:hAnsi="Arial" w:cs="Arial"/>
          <w:sz w:val="24"/>
          <w:szCs w:val="24"/>
          <w:lang w:val="en-GB"/>
        </w:rPr>
        <w:t xml:space="preserve">As </w:t>
      </w:r>
      <w:r w:rsidR="00317797" w:rsidRPr="00883FC0">
        <w:rPr>
          <w:rFonts w:ascii="Arial" w:hAnsi="Arial" w:cs="Arial"/>
          <w:i/>
          <w:sz w:val="24"/>
          <w:szCs w:val="24"/>
          <w:lang w:val="en-GB"/>
        </w:rPr>
        <w:t>Teladorsagia</w:t>
      </w:r>
      <w:r w:rsidRPr="00883FC0">
        <w:rPr>
          <w:rFonts w:ascii="Arial" w:hAnsi="Arial" w:cs="Arial"/>
          <w:i/>
          <w:sz w:val="24"/>
          <w:szCs w:val="24"/>
          <w:lang w:val="en-GB"/>
        </w:rPr>
        <w:t xml:space="preserve"> circumcincta</w:t>
      </w:r>
      <w:r w:rsidRPr="00883FC0">
        <w:rPr>
          <w:rFonts w:ascii="Arial" w:hAnsi="Arial" w:cs="Arial"/>
          <w:sz w:val="24"/>
          <w:szCs w:val="24"/>
          <w:lang w:val="en-GB"/>
        </w:rPr>
        <w:t xml:space="preserve"> was dominant in ibex, a refuge of susceptible </w:t>
      </w:r>
      <w:r w:rsidR="00317797" w:rsidRPr="00883FC0">
        <w:rPr>
          <w:rFonts w:ascii="Arial" w:hAnsi="Arial" w:cs="Arial"/>
          <w:i/>
          <w:sz w:val="24"/>
          <w:szCs w:val="24"/>
          <w:lang w:val="en-GB"/>
        </w:rPr>
        <w:t>Teladorsagia</w:t>
      </w:r>
      <w:r w:rsidRPr="00883FC0">
        <w:rPr>
          <w:rFonts w:ascii="Arial" w:hAnsi="Arial" w:cs="Arial"/>
          <w:i/>
          <w:sz w:val="24"/>
          <w:szCs w:val="24"/>
          <w:lang w:val="en-GB"/>
        </w:rPr>
        <w:t xml:space="preserve"> circumcincta</w:t>
      </w:r>
      <w:r w:rsidRPr="00883FC0">
        <w:rPr>
          <w:rFonts w:ascii="Arial" w:hAnsi="Arial" w:cs="Arial"/>
          <w:sz w:val="24"/>
          <w:szCs w:val="24"/>
          <w:lang w:val="en-GB"/>
        </w:rPr>
        <w:t xml:space="preserve"> strains may be maintained within ibex and may contribute to limit</w:t>
      </w:r>
      <w:r w:rsidR="00B93ADC" w:rsidRPr="00883FC0">
        <w:rPr>
          <w:rFonts w:ascii="Arial" w:hAnsi="Arial" w:cs="Arial"/>
          <w:sz w:val="24"/>
          <w:szCs w:val="24"/>
          <w:lang w:val="en-GB"/>
        </w:rPr>
        <w:t>ing</w:t>
      </w:r>
      <w:r w:rsidRPr="00883FC0">
        <w:rPr>
          <w:rFonts w:ascii="Arial" w:hAnsi="Arial" w:cs="Arial"/>
          <w:sz w:val="24"/>
          <w:szCs w:val="24"/>
          <w:lang w:val="en-GB"/>
        </w:rPr>
        <w:t xml:space="preserve"> the spread of resistance in sheep farms.</w:t>
      </w:r>
      <w:r w:rsidR="004B566F" w:rsidRPr="00883FC0">
        <w:rPr>
          <w:rFonts w:ascii="Arial" w:hAnsi="Arial" w:cs="Arial"/>
          <w:sz w:val="24"/>
          <w:szCs w:val="24"/>
          <w:lang w:val="en-GB"/>
        </w:rPr>
        <w:t xml:space="preserve"> </w:t>
      </w:r>
      <w:bookmarkEnd w:id="51"/>
      <w:r w:rsidR="00723847" w:rsidRPr="00883FC0">
        <w:rPr>
          <w:rFonts w:ascii="Arial" w:hAnsi="Arial" w:cs="Arial"/>
          <w:sz w:val="24"/>
          <w:szCs w:val="24"/>
          <w:lang w:val="en-GB"/>
        </w:rPr>
        <w:t>Nematodes can negatively or positively interact within the host gut, and interactions between species or between strains may have important implication</w:t>
      </w:r>
      <w:r w:rsidR="00972C2A" w:rsidRPr="00883FC0">
        <w:rPr>
          <w:rFonts w:ascii="Arial" w:hAnsi="Arial" w:cs="Arial"/>
          <w:sz w:val="24"/>
          <w:szCs w:val="24"/>
          <w:lang w:val="en-GB"/>
        </w:rPr>
        <w:t>s</w:t>
      </w:r>
      <w:r w:rsidR="00723847" w:rsidRPr="00883FC0">
        <w:rPr>
          <w:rFonts w:ascii="Arial" w:hAnsi="Arial" w:cs="Arial"/>
          <w:sz w:val="24"/>
          <w:szCs w:val="24"/>
          <w:lang w:val="en-GB"/>
        </w:rPr>
        <w:t xml:space="preserve"> for the selection of resistance. However, the magnitude of within-host interactions between nematode strains/species and</w:t>
      </w:r>
      <w:r w:rsidR="00972C2A" w:rsidRPr="00883FC0">
        <w:rPr>
          <w:rFonts w:ascii="Arial" w:hAnsi="Arial" w:cs="Arial"/>
          <w:sz w:val="24"/>
          <w:szCs w:val="24"/>
          <w:lang w:val="en-GB"/>
        </w:rPr>
        <w:t xml:space="preserve"> its</w:t>
      </w:r>
      <w:r w:rsidR="00723847" w:rsidRPr="00883FC0">
        <w:rPr>
          <w:rFonts w:ascii="Arial" w:hAnsi="Arial" w:cs="Arial"/>
          <w:sz w:val="24"/>
          <w:szCs w:val="24"/>
          <w:lang w:val="en-GB"/>
        </w:rPr>
        <w:t xml:space="preserve"> implication in the management of resistance remains to be determined </w:t>
      </w:r>
      <w:r w:rsidR="00723847" w:rsidRPr="00883FC0">
        <w:rPr>
          <w:rFonts w:ascii="Arial" w:hAnsi="Arial" w:cs="Arial"/>
          <w:sz w:val="24"/>
          <w:szCs w:val="24"/>
          <w:lang w:val="en-US"/>
        </w:rPr>
        <w:fldChar w:fldCharType="begin"/>
      </w:r>
      <w:r w:rsidR="00723847" w:rsidRPr="00883FC0">
        <w:rPr>
          <w:rFonts w:ascii="Arial" w:hAnsi="Arial" w:cs="Arial"/>
          <w:sz w:val="24"/>
          <w:szCs w:val="24"/>
          <w:lang w:val="en-US"/>
        </w:rPr>
        <w:instrText xml:space="preserve"> ADDIN ZOTERO_ITEM CSL_CITATION {"citationID":"02zXu3WU","properties":{"formattedCitation":"(Hellard et al., 2015; Lello et al., 2004)","plainCitation":"(Hellard et al., 2015; Lello et al., 2004)","noteIndex":0},"citationItems":[{"id":5056,"uris":["http://zotero.org/users/local/NciqjDvn/items/4X2QE6LP"],"itemData":{"id":5056,"type":"article-journal","container-title":"Trends in Parasitology","DOI":"10.1016/j.pt.2015.07.005","ISSN":"1471-4922, 1471-5007","issue":"12","journalAbbreviation":"Trends in Parasitology","language":"English","note":"publisher: Elsevier\nPMID: 26440785","page":"640-652","source":"www.cell.com","title":"Parasite–Parasite Interactions in the Wild: How To Detect Them?","title-short":"Parasite–Parasite Interactions in the Wild","volume":"31","author":[{"family":"Hellard","given":"Eléonore"},{"family":"Fouchet","given":"David"},{"family":"Vavre","given":"Fabrice"},{"family":"Pontier","given":"Dominique"}],"issued":{"date-parts":[["2015",12,1]]}}},{"id":1665,"uris":["http://zotero.org/users/local/NciqjDvn/items/QQDT4HWQ"],"itemData":{"id":1665,"type":"article-journal","abstract":"Most animal species are infected with multiple parasite species; however, the role of interspecific parasite interactions in influencing parasite dynamics and shaping parasite communities has been unclear. Although laboratory studies have found evidence of cross-immunity, immunosuppression and competition1,2,3,4,5,6, analyses of hosts in the field have generally concluded that parasite communities are little more than random assemblages7,8,9,10,11,12,13,14. Here we present evidence of consistent interspecific interactions in a natural mammalian system, revealed through the analysis of parasite intensity data collected from a free-ranging rabbit (Oryctolagus cuniculus) population, sampled monthly for a period of 23 yr. The wild rabbit plays host to a diverse gut helminth community15,16,17 that reflects the communities seen in other economically important domestic herbivores18,19. These findings suggest that parasite interactions could have profound implications for the dynamics of parasite communities. The efficacy of parasite control programmes could be jeopardized if such interactions are not taken into account. In contrast, a clear understanding of such interactions may provide the basis for the development of more environmentally acceptable methods of parasite control.","container-title":"Nature","DOI":"10.1038/nature02490","ISSN":"1476-4687","issue":"6985","language":"en","license":"2004 Macmillan Magazines Ltd.","note":"number: 6985\npublisher: Nature Publishing Group","page":"840-844","source":"www.nature.com","title":"Competition and mutualism among the gut helminths of a mammalian host","volume":"428","author":[{"family":"Lello","given":"Joanne"},{"family":"Boag","given":"Brian"},{"family":"Fenton","given":"Andrew"},{"family":"Stevenson","given":"Ian R."},{"family":"Hudson","given":"Peter J."}],"issued":{"date-parts":[["2004",4]]}}}],"schema":"https://github.com/citation-style-language/schema/raw/master/csl-citation.json"} </w:instrText>
      </w:r>
      <w:r w:rsidR="00723847" w:rsidRPr="00883FC0">
        <w:rPr>
          <w:rFonts w:ascii="Arial" w:hAnsi="Arial" w:cs="Arial"/>
          <w:sz w:val="24"/>
          <w:szCs w:val="24"/>
          <w:lang w:val="en-US"/>
        </w:rPr>
        <w:fldChar w:fldCharType="separate"/>
      </w:r>
      <w:r w:rsidR="00723847" w:rsidRPr="00883FC0">
        <w:rPr>
          <w:rFonts w:ascii="Arial" w:hAnsi="Arial" w:cs="Arial"/>
          <w:sz w:val="24"/>
          <w:lang w:val="en-US"/>
        </w:rPr>
        <w:t>(Hellard et al., 2015; Lello et al., 2004)</w:t>
      </w:r>
      <w:r w:rsidR="00723847" w:rsidRPr="00883FC0">
        <w:rPr>
          <w:rFonts w:ascii="Arial" w:hAnsi="Arial" w:cs="Arial"/>
          <w:sz w:val="24"/>
          <w:szCs w:val="24"/>
          <w:lang w:val="en-US"/>
        </w:rPr>
        <w:fldChar w:fldCharType="end"/>
      </w:r>
      <w:r w:rsidR="00723847" w:rsidRPr="00883FC0">
        <w:rPr>
          <w:rFonts w:ascii="Arial" w:hAnsi="Arial" w:cs="Arial"/>
          <w:sz w:val="24"/>
          <w:szCs w:val="24"/>
          <w:lang w:val="en-US"/>
        </w:rPr>
        <w:t>.</w:t>
      </w:r>
    </w:p>
    <w:p w14:paraId="0DCB3E3E" w14:textId="5B661C71" w:rsidR="003E01B7" w:rsidRPr="00883FC0" w:rsidRDefault="00B93ADC"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D</w:t>
      </w:r>
      <w:r w:rsidR="003E01B7" w:rsidRPr="00883FC0">
        <w:rPr>
          <w:rFonts w:ascii="Arial" w:hAnsi="Arial" w:cs="Arial"/>
          <w:sz w:val="24"/>
          <w:szCs w:val="24"/>
          <w:lang w:val="en-GB"/>
        </w:rPr>
        <w:t>i</w:t>
      </w:r>
      <w:r w:rsidRPr="00883FC0">
        <w:rPr>
          <w:rFonts w:ascii="Arial" w:hAnsi="Arial" w:cs="Arial"/>
          <w:sz w:val="24"/>
          <w:szCs w:val="24"/>
          <w:lang w:val="en-GB"/>
        </w:rPr>
        <w:t>fferences in patterns among</w:t>
      </w:r>
      <w:r w:rsidR="003E01B7" w:rsidRPr="00883FC0">
        <w:rPr>
          <w:rFonts w:ascii="Arial" w:hAnsi="Arial" w:cs="Arial"/>
          <w:sz w:val="24"/>
          <w:szCs w:val="24"/>
          <w:lang w:val="en-GB"/>
        </w:rPr>
        <w:t xml:space="preserve"> massifs </w:t>
      </w:r>
      <w:r w:rsidRPr="00883FC0">
        <w:rPr>
          <w:rFonts w:ascii="Arial" w:hAnsi="Arial" w:cs="Arial"/>
          <w:sz w:val="24"/>
          <w:szCs w:val="24"/>
          <w:lang w:val="en-GB"/>
        </w:rPr>
        <w:t>were</w:t>
      </w:r>
      <w:r w:rsidR="003E01B7" w:rsidRPr="00883FC0">
        <w:rPr>
          <w:rFonts w:ascii="Arial" w:hAnsi="Arial" w:cs="Arial"/>
          <w:sz w:val="24"/>
          <w:szCs w:val="24"/>
          <w:lang w:val="en-GB"/>
        </w:rPr>
        <w:t xml:space="preserve"> observed at the community and genetic level among sheep flocks and ibex populations. </w:t>
      </w:r>
      <w:r w:rsidR="00F22C0A" w:rsidRPr="00883FC0">
        <w:rPr>
          <w:rFonts w:ascii="Arial" w:hAnsi="Arial" w:cs="Arial"/>
          <w:sz w:val="24"/>
          <w:szCs w:val="24"/>
          <w:lang w:val="en-GB"/>
        </w:rPr>
        <w:t>Indeed, i</w:t>
      </w:r>
      <w:r w:rsidR="003E01B7" w:rsidRPr="00883FC0">
        <w:rPr>
          <w:rFonts w:ascii="Arial" w:hAnsi="Arial" w:cs="Arial"/>
          <w:sz w:val="24"/>
          <w:szCs w:val="24"/>
          <w:lang w:val="en-GB"/>
        </w:rPr>
        <w:t>t wa</w:t>
      </w:r>
      <w:r w:rsidR="00F22C0A" w:rsidRPr="00883FC0">
        <w:rPr>
          <w:rFonts w:ascii="Arial" w:hAnsi="Arial" w:cs="Arial"/>
          <w:sz w:val="24"/>
          <w:szCs w:val="24"/>
          <w:lang w:val="en-GB"/>
        </w:rPr>
        <w:t xml:space="preserve">s </w:t>
      </w:r>
      <w:r w:rsidR="003E01B7" w:rsidRPr="00883FC0">
        <w:rPr>
          <w:rFonts w:ascii="Arial" w:hAnsi="Arial" w:cs="Arial"/>
          <w:sz w:val="24"/>
          <w:szCs w:val="24"/>
          <w:lang w:val="en-GB"/>
        </w:rPr>
        <w:t xml:space="preserve">expected that differences in nemabiome composition </w:t>
      </w:r>
      <w:r w:rsidR="00F22C0A" w:rsidRPr="00883FC0">
        <w:rPr>
          <w:rFonts w:ascii="Arial" w:hAnsi="Arial" w:cs="Arial"/>
          <w:sz w:val="24"/>
          <w:szCs w:val="24"/>
          <w:lang w:val="en-GB"/>
        </w:rPr>
        <w:t>wo</w:t>
      </w:r>
      <w:r w:rsidR="003E01B7" w:rsidRPr="00883FC0">
        <w:rPr>
          <w:rFonts w:ascii="Arial" w:hAnsi="Arial" w:cs="Arial"/>
          <w:sz w:val="24"/>
          <w:szCs w:val="24"/>
          <w:lang w:val="en-GB"/>
        </w:rPr>
        <w:t xml:space="preserve">uld be observed between the massifs and sheep flocks, </w:t>
      </w:r>
      <w:r w:rsidR="00102B5D" w:rsidRPr="00102B5D">
        <w:rPr>
          <w:rFonts w:ascii="Arial" w:hAnsi="Arial" w:cs="Arial"/>
          <w:sz w:val="24"/>
          <w:szCs w:val="24"/>
          <w:highlight w:val="yellow"/>
          <w:lang w:val="en-GB"/>
        </w:rPr>
        <w:t>considering</w:t>
      </w:r>
      <w:r w:rsidR="00F22C0A" w:rsidRPr="00883FC0">
        <w:rPr>
          <w:rFonts w:ascii="Arial" w:hAnsi="Arial" w:cs="Arial"/>
          <w:sz w:val="24"/>
          <w:szCs w:val="24"/>
          <w:lang w:val="en-GB"/>
        </w:rPr>
        <w:t xml:space="preserve"> that </w:t>
      </w:r>
      <w:r w:rsidR="003E01B7" w:rsidRPr="00883FC0">
        <w:rPr>
          <w:rFonts w:ascii="Arial" w:hAnsi="Arial" w:cs="Arial"/>
          <w:sz w:val="24"/>
          <w:szCs w:val="24"/>
          <w:lang w:val="en-GB"/>
        </w:rPr>
        <w:t xml:space="preserve">sheep and ibex </w:t>
      </w:r>
      <w:r w:rsidR="00F22C0A" w:rsidRPr="00883FC0">
        <w:rPr>
          <w:rFonts w:ascii="Arial" w:hAnsi="Arial" w:cs="Arial"/>
          <w:sz w:val="24"/>
          <w:szCs w:val="24"/>
          <w:lang w:val="en-GB"/>
        </w:rPr>
        <w:t>from</w:t>
      </w:r>
      <w:r w:rsidR="003E01B7" w:rsidRPr="00883FC0">
        <w:rPr>
          <w:rFonts w:ascii="Arial" w:hAnsi="Arial" w:cs="Arial"/>
          <w:sz w:val="24"/>
          <w:szCs w:val="24"/>
          <w:lang w:val="en-GB"/>
        </w:rPr>
        <w:t xml:space="preserve"> different areas never m</w:t>
      </w:r>
      <w:r w:rsidR="00F22C0A" w:rsidRPr="00883FC0">
        <w:rPr>
          <w:rFonts w:ascii="Arial" w:hAnsi="Arial" w:cs="Arial"/>
          <w:sz w:val="24"/>
          <w:szCs w:val="24"/>
          <w:lang w:val="en-GB"/>
        </w:rPr>
        <w:t>e</w:t>
      </w:r>
      <w:r w:rsidR="003E01B7" w:rsidRPr="00883FC0">
        <w:rPr>
          <w:rFonts w:ascii="Arial" w:hAnsi="Arial" w:cs="Arial"/>
          <w:sz w:val="24"/>
          <w:szCs w:val="24"/>
          <w:lang w:val="en-GB"/>
        </w:rPr>
        <w:t xml:space="preserve">et (R. Papet, C. </w:t>
      </w:r>
      <w:proofErr w:type="spellStart"/>
      <w:r w:rsidR="003E01B7" w:rsidRPr="00883FC0">
        <w:rPr>
          <w:rFonts w:ascii="Arial" w:hAnsi="Arial" w:cs="Arial"/>
          <w:sz w:val="24"/>
          <w:szCs w:val="24"/>
          <w:lang w:val="en-GB"/>
        </w:rPr>
        <w:t>Toïgo</w:t>
      </w:r>
      <w:proofErr w:type="spellEnd"/>
      <w:r w:rsidR="003E01B7" w:rsidRPr="00883FC0">
        <w:rPr>
          <w:rFonts w:ascii="Arial" w:hAnsi="Arial" w:cs="Arial"/>
          <w:sz w:val="24"/>
          <w:szCs w:val="24"/>
          <w:lang w:val="en-GB"/>
        </w:rPr>
        <w:t xml:space="preserve">, E. </w:t>
      </w:r>
      <w:proofErr w:type="spellStart"/>
      <w:r w:rsidR="003E01B7" w:rsidRPr="00883FC0">
        <w:rPr>
          <w:rFonts w:ascii="Arial" w:hAnsi="Arial" w:cs="Arial"/>
          <w:sz w:val="24"/>
          <w:szCs w:val="24"/>
          <w:lang w:val="en-GB"/>
        </w:rPr>
        <w:t>Vannard</w:t>
      </w:r>
      <w:proofErr w:type="spellEnd"/>
      <w:r w:rsidR="003E01B7" w:rsidRPr="00883FC0">
        <w:rPr>
          <w:rFonts w:ascii="Arial" w:hAnsi="Arial" w:cs="Arial"/>
          <w:sz w:val="24"/>
          <w:szCs w:val="24"/>
          <w:lang w:val="en-GB"/>
        </w:rPr>
        <w:t xml:space="preserve">, Pers. communication). </w:t>
      </w:r>
      <w:r w:rsidR="00877655" w:rsidRPr="00883FC0">
        <w:rPr>
          <w:rFonts w:ascii="Arial" w:hAnsi="Arial" w:cs="Arial"/>
          <w:sz w:val="24"/>
          <w:szCs w:val="24"/>
          <w:lang w:val="en-GB"/>
        </w:rPr>
        <w:t>Furthermore</w:t>
      </w:r>
      <w:r w:rsidR="003E01B7" w:rsidRPr="00883FC0">
        <w:rPr>
          <w:rFonts w:ascii="Arial" w:hAnsi="Arial" w:cs="Arial"/>
          <w:sz w:val="24"/>
          <w:szCs w:val="24"/>
          <w:lang w:val="en-GB"/>
        </w:rPr>
        <w:t xml:space="preserve">, </w:t>
      </w:r>
      <w:r w:rsidR="00877655" w:rsidRPr="00883FC0">
        <w:rPr>
          <w:rFonts w:ascii="Arial" w:hAnsi="Arial" w:cs="Arial"/>
          <w:sz w:val="24"/>
          <w:szCs w:val="24"/>
          <w:lang w:val="en-GB"/>
        </w:rPr>
        <w:t xml:space="preserve">the </w:t>
      </w:r>
      <w:r w:rsidR="003E01B7" w:rsidRPr="00883FC0">
        <w:rPr>
          <w:rFonts w:ascii="Arial" w:hAnsi="Arial" w:cs="Arial"/>
          <w:sz w:val="24"/>
          <w:szCs w:val="24"/>
          <w:lang w:val="en-GB"/>
        </w:rPr>
        <w:t xml:space="preserve">sheep flocks come from different locations and have been subjected to different anthelmintic strategies. For the ibex, differences in the </w:t>
      </w:r>
      <w:r w:rsidR="00877655" w:rsidRPr="00883FC0">
        <w:rPr>
          <w:rFonts w:ascii="Arial" w:hAnsi="Arial" w:cs="Arial"/>
          <w:sz w:val="24"/>
          <w:szCs w:val="24"/>
          <w:lang w:val="en-GB"/>
        </w:rPr>
        <w:t xml:space="preserve">original </w:t>
      </w:r>
      <w:r w:rsidR="003E01B7" w:rsidRPr="00883FC0">
        <w:rPr>
          <w:rFonts w:ascii="Arial" w:hAnsi="Arial" w:cs="Arial"/>
          <w:sz w:val="24"/>
          <w:szCs w:val="24"/>
          <w:lang w:val="en-GB"/>
        </w:rPr>
        <w:t xml:space="preserve">population of translocated animals </w:t>
      </w:r>
      <w:r w:rsidR="003E01B7"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{"citationID":"ao7r77vvkl","properties":{"formattedCitation":"(Gauthier and Villaret, 1990; Kessler et al., 2022)","plainCitation":"(Gauthier and Villaret, 1990; Kessler et al., 2022)","noteIndex":0},"citationItems":[{"id":4513,"uris":["http://zotero.org/users/local/NciqjDvn/items/8WPC3BNM"],"itemData":{"id":4513,"type":"article-journal","container-title":"Rev. Eco. (Terre Vie)","DOI":"10.3406/revec.1990.6338","issue":"5","language":"fre","license":"free","note":"publisher: Persée - Portail des revues scientifiques en SHS","page":"97-120","source":"www.persee.fr","title":"La réintroduction en France du bouquetin des Alpes","volume":"45","author":[{"family":"Gauthier","given":"Dominique"},{"family":"Villaret","given":"Jean-charles"}],"issued":{"date-parts":[["1990"]]}}},{"id":4581,"uris":["http://zotero.org/users/local/NciqjDvn/items/MGGS4ZLY"],"itemData":{"id":4581,"type":"article-journal","abstract":"Polymorphism for immune functions can explain significant variation in health and reproductive success within species. Drastic loss in genetic diversity at such loci constitutes an extinction risk and should be monitored in species of conservation concern. However, effective implementations of genome-wide immune polymorphism sets into high-throughput genotyping assays are scarce. Here, we report the design and validation of a microfluidics-based amplicon sequencing assay to comprehensively capture genetic variation in Alpine ibex (Capra ibex). This species represents one of the most successful large mammal restorations recovering from a severely depressed census size and a massive loss in diversity at the major histocompatibility complex (MHC). We analysed 65 whole-genome sequencing sets of the Alpine ibex and related species to select the most representative markers and to prevent primer binding failures. In total, we designed 1,000 amplicons densely covering the MHC, further immunity-related genes as well as randomly selected genome-wide markers for the assessment of neutral population structure. Our analysis of 158 individuals shows that the genome-wide markers perform equally well at resolving population structure as RAD-sequencing or low-coverage genome sequencing data sets. Immunity-related loci show unexpectedly high degrees of genetic differentiation within the species. Such information can now be used to define highly targeted individual translocations. Our design strategy can be realistically implemented into genetic surveys of a large range of species. In conclusion, leveraging whole-genome sequencing data sets to design targeted amplicon assays allows the simultaneous monitoring of multiple genetic risk factors and can be translated into species conservation recommendations.","container-title":"Molecular Ecology Resources","DOI":"10.1111/1755-0998.13452","ISSN":"1755-0998","issue":"1","language":"en","note":"_eprint: https://onlinelibrary.wiley.com/doi/pdf/10.1111/1755-0998.13452","page":"66-85","source":"Wiley Online Library","title":"A robust sequencing assay of a thousand amplicons for the high-throughput population monitoring of Alpine ibex immunogenetics","volume":"22","author":[{"family":"Kessler","given":"Camille"},{"family":"Brambilla","given":"Alice"},{"family":"Waldvogel","given":"Dominique"},{"family":"Camenisch","given":"Glauco"},{"family":"Biebach","given":"Iris"},{"family":"Leigh","given":"Deborah M."},{"family":"Grossen","given":"Christine"},{"family":"Croll","given":"Daniel"}],"issued":{"date-parts":[["2022"]]}}}],"schema":"https://github.com/citation-style-language/schema/raw/master/csl-citation.json"} </w:instrText>
      </w:r>
      <w:r w:rsidR="003E01B7" w:rsidRPr="00883FC0">
        <w:rPr>
          <w:rFonts w:ascii="Arial" w:hAnsi="Arial" w:cs="Arial"/>
          <w:sz w:val="24"/>
          <w:szCs w:val="24"/>
          <w:lang w:val="en-GB"/>
        </w:rPr>
        <w:fldChar w:fldCharType="separate"/>
      </w:r>
      <w:r w:rsidR="00991FDE" w:rsidRPr="00883FC0">
        <w:rPr>
          <w:rFonts w:ascii="Arial" w:hAnsi="Arial" w:cs="Arial"/>
          <w:sz w:val="24"/>
          <w:lang w:val="en-US"/>
        </w:rPr>
        <w:t>(Gauthier and Villaret, 1990; Kessler et al., 2022)</w:t>
      </w:r>
      <w:r w:rsidR="003E01B7" w:rsidRPr="00883FC0">
        <w:rPr>
          <w:rFonts w:ascii="Arial" w:hAnsi="Arial" w:cs="Arial"/>
          <w:sz w:val="24"/>
          <w:szCs w:val="24"/>
          <w:lang w:val="en-GB"/>
        </w:rPr>
        <w:fldChar w:fldCharType="end"/>
      </w:r>
      <w:r w:rsidR="003E01B7" w:rsidRPr="00883FC0">
        <w:rPr>
          <w:rFonts w:ascii="Arial" w:hAnsi="Arial" w:cs="Arial"/>
          <w:sz w:val="24"/>
          <w:szCs w:val="24"/>
          <w:lang w:val="en-GB"/>
        </w:rPr>
        <w:t xml:space="preserve"> a</w:t>
      </w:r>
      <w:r w:rsidR="00877655" w:rsidRPr="00883FC0">
        <w:rPr>
          <w:rFonts w:ascii="Arial" w:hAnsi="Arial" w:cs="Arial"/>
          <w:sz w:val="24"/>
          <w:szCs w:val="24"/>
          <w:lang w:val="en-GB"/>
        </w:rPr>
        <w:t>nd</w:t>
      </w:r>
      <w:r w:rsidR="003E01B7" w:rsidRPr="00883FC0">
        <w:rPr>
          <w:rFonts w:ascii="Arial" w:hAnsi="Arial" w:cs="Arial"/>
          <w:sz w:val="24"/>
          <w:szCs w:val="24"/>
          <w:lang w:val="en-GB"/>
        </w:rPr>
        <w:t xml:space="preserve"> potential founder effect</w:t>
      </w:r>
      <w:r w:rsidRPr="00883FC0">
        <w:rPr>
          <w:rFonts w:ascii="Arial" w:hAnsi="Arial" w:cs="Arial"/>
          <w:sz w:val="24"/>
          <w:szCs w:val="24"/>
          <w:lang w:val="en-GB"/>
        </w:rPr>
        <w:t>s</w:t>
      </w:r>
      <w:r w:rsidR="003E01B7" w:rsidRPr="00883FC0">
        <w:rPr>
          <w:rFonts w:ascii="Arial" w:hAnsi="Arial" w:cs="Arial"/>
          <w:sz w:val="24"/>
          <w:szCs w:val="24"/>
          <w:lang w:val="en-GB"/>
        </w:rPr>
        <w:t xml:space="preserve"> – not all parasites present in the source population were present in the newly established population - may have had a long term impact on the composition of the nemabiome. For example, the distinct population of </w:t>
      </w:r>
      <w:r w:rsidR="00317797" w:rsidRPr="00883FC0">
        <w:rPr>
          <w:rFonts w:ascii="Arial" w:hAnsi="Arial" w:cs="Arial"/>
          <w:i/>
          <w:sz w:val="24"/>
          <w:szCs w:val="24"/>
          <w:lang w:val="en-GB"/>
        </w:rPr>
        <w:t xml:space="preserve">Trichostrongylus </w:t>
      </w:r>
      <w:r w:rsidR="003E01B7" w:rsidRPr="00883FC0">
        <w:rPr>
          <w:rFonts w:ascii="Arial" w:hAnsi="Arial" w:cs="Arial"/>
          <w:i/>
          <w:sz w:val="24"/>
          <w:szCs w:val="24"/>
          <w:lang w:val="en-GB"/>
        </w:rPr>
        <w:t>vitrinus</w:t>
      </w:r>
      <w:r w:rsidR="003E01B7" w:rsidRPr="00883FC0">
        <w:rPr>
          <w:rFonts w:ascii="Arial" w:hAnsi="Arial" w:cs="Arial"/>
          <w:sz w:val="24"/>
          <w:szCs w:val="24"/>
          <w:lang w:val="en-GB"/>
        </w:rPr>
        <w:t>, found mainly in ibex in Belledonne, may ha</w:t>
      </w:r>
      <w:r w:rsidRPr="00883FC0">
        <w:rPr>
          <w:rFonts w:ascii="Arial" w:hAnsi="Arial" w:cs="Arial"/>
          <w:sz w:val="24"/>
          <w:szCs w:val="24"/>
          <w:lang w:val="en-GB"/>
        </w:rPr>
        <w:t>ve</w:t>
      </w:r>
      <w:r w:rsidR="003E01B7" w:rsidRPr="00883FC0">
        <w:rPr>
          <w:rFonts w:ascii="Arial" w:hAnsi="Arial" w:cs="Arial"/>
          <w:sz w:val="24"/>
          <w:szCs w:val="24"/>
          <w:lang w:val="en-GB"/>
        </w:rPr>
        <w:t xml:space="preserve"> been inherited from the founding ibex population. This highlights that </w:t>
      </w:r>
      <w:r w:rsidR="00877655" w:rsidRPr="00883FC0">
        <w:rPr>
          <w:rFonts w:ascii="Arial" w:hAnsi="Arial" w:cs="Arial"/>
          <w:sz w:val="24"/>
          <w:szCs w:val="24"/>
          <w:lang w:val="en-GB"/>
        </w:rPr>
        <w:t>various</w:t>
      </w:r>
      <w:r w:rsidR="003E01B7" w:rsidRPr="00883FC0">
        <w:rPr>
          <w:rFonts w:ascii="Arial" w:hAnsi="Arial" w:cs="Arial"/>
          <w:sz w:val="24"/>
          <w:szCs w:val="24"/>
          <w:lang w:val="en-GB"/>
        </w:rPr>
        <w:t xml:space="preserve"> reintroduction</w:t>
      </w:r>
      <w:r w:rsidR="00877655" w:rsidRPr="00883FC0">
        <w:rPr>
          <w:rFonts w:ascii="Arial" w:hAnsi="Arial" w:cs="Arial"/>
          <w:sz w:val="24"/>
          <w:szCs w:val="24"/>
          <w:lang w:val="en-GB"/>
        </w:rPr>
        <w:t>s</w:t>
      </w:r>
      <w:r w:rsidR="003E01B7" w:rsidRPr="00883FC0">
        <w:rPr>
          <w:rFonts w:ascii="Arial" w:hAnsi="Arial" w:cs="Arial"/>
          <w:sz w:val="24"/>
          <w:szCs w:val="24"/>
          <w:lang w:val="en-GB"/>
        </w:rPr>
        <w:t xml:space="preserve"> of ibex </w:t>
      </w:r>
      <w:r w:rsidR="00877655" w:rsidRPr="00883FC0">
        <w:rPr>
          <w:rFonts w:ascii="Arial" w:hAnsi="Arial" w:cs="Arial"/>
          <w:sz w:val="24"/>
          <w:szCs w:val="24"/>
          <w:lang w:val="en-GB"/>
        </w:rPr>
        <w:t>in</w:t>
      </w:r>
      <w:r w:rsidR="003E01B7" w:rsidRPr="00883FC0">
        <w:rPr>
          <w:rFonts w:ascii="Arial" w:hAnsi="Arial" w:cs="Arial"/>
          <w:sz w:val="24"/>
          <w:szCs w:val="24"/>
          <w:lang w:val="en-GB"/>
        </w:rPr>
        <w:t xml:space="preserve"> the study area </w:t>
      </w:r>
      <w:r w:rsidR="00877655" w:rsidRPr="00883FC0">
        <w:rPr>
          <w:rFonts w:ascii="Arial" w:hAnsi="Arial" w:cs="Arial"/>
          <w:sz w:val="24"/>
          <w:szCs w:val="24"/>
          <w:lang w:val="en-GB"/>
        </w:rPr>
        <w:t>can</w:t>
      </w:r>
      <w:r w:rsidR="003E01B7" w:rsidRPr="00883FC0">
        <w:rPr>
          <w:rFonts w:ascii="Arial" w:hAnsi="Arial" w:cs="Arial"/>
          <w:sz w:val="24"/>
          <w:szCs w:val="24"/>
          <w:lang w:val="en-GB"/>
        </w:rPr>
        <w:t xml:space="preserve"> also influence the composition of the parasite community. This distinct population </w:t>
      </w:r>
      <w:r w:rsidR="003E01B7" w:rsidRPr="00883FC0">
        <w:rPr>
          <w:rFonts w:ascii="Arial" w:hAnsi="Arial" w:cs="Arial"/>
          <w:i/>
          <w:sz w:val="24"/>
          <w:szCs w:val="24"/>
          <w:lang w:val="en-GB"/>
        </w:rPr>
        <w:t xml:space="preserve">of </w:t>
      </w:r>
      <w:r w:rsidR="00317797" w:rsidRPr="00883FC0">
        <w:rPr>
          <w:rFonts w:ascii="Arial" w:hAnsi="Arial" w:cs="Arial"/>
          <w:i/>
          <w:sz w:val="24"/>
          <w:szCs w:val="24"/>
          <w:lang w:val="en-GB"/>
        </w:rPr>
        <w:t>Trichostrongylus</w:t>
      </w:r>
      <w:r w:rsidR="003E01B7" w:rsidRPr="00883FC0">
        <w:rPr>
          <w:rFonts w:ascii="Arial" w:hAnsi="Arial" w:cs="Arial"/>
          <w:i/>
          <w:sz w:val="24"/>
          <w:szCs w:val="24"/>
          <w:lang w:val="en-GB"/>
        </w:rPr>
        <w:t xml:space="preserve"> vitrinus</w:t>
      </w:r>
      <w:r w:rsidR="003E01B7" w:rsidRPr="00883FC0">
        <w:rPr>
          <w:rFonts w:ascii="Arial" w:hAnsi="Arial" w:cs="Arial"/>
          <w:sz w:val="24"/>
          <w:szCs w:val="24"/>
          <w:lang w:val="en-GB"/>
        </w:rPr>
        <w:t xml:space="preserve"> was absent in sheep grazing in Belledonne, </w:t>
      </w:r>
      <w:r w:rsidR="00877655" w:rsidRPr="00883FC0">
        <w:rPr>
          <w:rFonts w:ascii="Arial" w:hAnsi="Arial" w:cs="Arial"/>
          <w:sz w:val="24"/>
          <w:szCs w:val="24"/>
          <w:lang w:val="en-GB"/>
        </w:rPr>
        <w:t xml:space="preserve">which </w:t>
      </w:r>
      <w:r w:rsidR="003E01B7" w:rsidRPr="00883FC0">
        <w:rPr>
          <w:rFonts w:ascii="Arial" w:hAnsi="Arial" w:cs="Arial"/>
          <w:sz w:val="24"/>
          <w:szCs w:val="24"/>
          <w:lang w:val="en-GB"/>
        </w:rPr>
        <w:t xml:space="preserve">hosted other strains of </w:t>
      </w:r>
      <w:r w:rsidR="00317797" w:rsidRPr="00883FC0">
        <w:rPr>
          <w:rFonts w:ascii="Arial" w:hAnsi="Arial" w:cs="Arial"/>
          <w:i/>
          <w:sz w:val="24"/>
          <w:szCs w:val="24"/>
          <w:lang w:val="en-GB"/>
        </w:rPr>
        <w:t>Trichostrongylus</w:t>
      </w:r>
      <w:r w:rsidR="003E01B7" w:rsidRPr="00883FC0">
        <w:rPr>
          <w:rFonts w:ascii="Arial" w:hAnsi="Arial" w:cs="Arial"/>
          <w:i/>
          <w:iCs/>
          <w:sz w:val="24"/>
          <w:szCs w:val="24"/>
          <w:lang w:val="en-GB"/>
        </w:rPr>
        <w:t xml:space="preserve"> vitrinus</w:t>
      </w:r>
      <w:r w:rsidRPr="00883FC0">
        <w:rPr>
          <w:rFonts w:ascii="Arial" w:hAnsi="Arial" w:cs="Arial"/>
          <w:sz w:val="24"/>
          <w:szCs w:val="24"/>
          <w:lang w:val="en-GB"/>
        </w:rPr>
        <w:t xml:space="preserve"> </w:t>
      </w:r>
      <w:r w:rsidR="003E01B7" w:rsidRPr="00883FC0">
        <w:rPr>
          <w:rFonts w:ascii="Arial" w:hAnsi="Arial" w:cs="Arial"/>
          <w:sz w:val="24"/>
          <w:szCs w:val="24"/>
          <w:lang w:val="en-GB"/>
        </w:rPr>
        <w:t>despite summers of co-occurrence of sheep and ibe</w:t>
      </w:r>
      <w:r w:rsidR="00286F0B">
        <w:rPr>
          <w:rFonts w:ascii="Arial" w:hAnsi="Arial" w:cs="Arial"/>
          <w:sz w:val="24"/>
          <w:szCs w:val="24"/>
          <w:lang w:val="en-GB"/>
        </w:rPr>
        <w:t>x</w:t>
      </w:r>
      <w:r w:rsidR="003E01B7" w:rsidRPr="00883FC0">
        <w:rPr>
          <w:rFonts w:ascii="Arial" w:hAnsi="Arial" w:cs="Arial"/>
          <w:sz w:val="24"/>
          <w:szCs w:val="24"/>
          <w:lang w:val="en-GB"/>
        </w:rPr>
        <w:t>.</w:t>
      </w:r>
      <w:bookmarkStart w:id="52" w:name="_Hlk161569736"/>
      <w:r w:rsidR="00877655" w:rsidRPr="00883FC0">
        <w:rPr>
          <w:rFonts w:ascii="Arial" w:hAnsi="Arial" w:cs="Arial"/>
          <w:sz w:val="24"/>
          <w:szCs w:val="24"/>
          <w:lang w:val="en-GB"/>
        </w:rPr>
        <w:t xml:space="preserve"> </w:t>
      </w:r>
      <w:r w:rsidRPr="00883FC0">
        <w:rPr>
          <w:rFonts w:ascii="Arial" w:hAnsi="Arial" w:cs="Arial"/>
          <w:sz w:val="24"/>
          <w:szCs w:val="24"/>
          <w:lang w:val="en-GB"/>
        </w:rPr>
        <w:t>It</w:t>
      </w:r>
      <w:r w:rsidR="00877655" w:rsidRPr="00883FC0">
        <w:rPr>
          <w:rFonts w:ascii="Arial" w:hAnsi="Arial" w:cs="Arial"/>
          <w:sz w:val="24"/>
          <w:szCs w:val="24"/>
          <w:lang w:val="en-GB"/>
        </w:rPr>
        <w:t xml:space="preserve"> is possible</w:t>
      </w:r>
      <w:r w:rsidR="00AE2A0A" w:rsidRPr="00883FC0">
        <w:rPr>
          <w:rFonts w:ascii="Arial" w:hAnsi="Arial" w:cs="Arial"/>
          <w:sz w:val="24"/>
          <w:szCs w:val="24"/>
          <w:lang w:val="en-GB"/>
        </w:rPr>
        <w:t xml:space="preserve"> that</w:t>
      </w:r>
      <w:r w:rsidR="00877655" w:rsidRPr="00883FC0">
        <w:rPr>
          <w:rFonts w:ascii="Arial" w:hAnsi="Arial" w:cs="Arial"/>
          <w:sz w:val="24"/>
          <w:szCs w:val="24"/>
          <w:lang w:val="en-GB"/>
        </w:rPr>
        <w:t xml:space="preserve"> </w:t>
      </w:r>
      <w:bookmarkEnd w:id="52"/>
      <w:r w:rsidR="00FD77A7" w:rsidRPr="00883FC0">
        <w:rPr>
          <w:rFonts w:ascii="Arial" w:hAnsi="Arial" w:cs="Arial"/>
          <w:sz w:val="24"/>
          <w:szCs w:val="24"/>
          <w:lang w:val="en-GB"/>
        </w:rPr>
        <w:t>this strain is adapted to ibex and incapable of developing in sheep or that this strain is highly sensitive to antiparasitic treatments used in sheep farm</w:t>
      </w:r>
      <w:r w:rsidR="00972C2A" w:rsidRPr="00883FC0">
        <w:rPr>
          <w:rFonts w:ascii="Arial" w:hAnsi="Arial" w:cs="Arial"/>
          <w:sz w:val="24"/>
          <w:szCs w:val="24"/>
          <w:lang w:val="en-GB"/>
        </w:rPr>
        <w:t>s</w:t>
      </w:r>
      <w:r w:rsidR="00FD77A7" w:rsidRPr="00883FC0">
        <w:rPr>
          <w:rFonts w:ascii="Arial" w:hAnsi="Arial" w:cs="Arial"/>
          <w:sz w:val="24"/>
          <w:szCs w:val="24"/>
          <w:lang w:val="en-GB"/>
        </w:rPr>
        <w:t xml:space="preserve"> and </w:t>
      </w:r>
      <w:r w:rsidR="00972C2A" w:rsidRPr="00883FC0">
        <w:rPr>
          <w:rFonts w:ascii="Arial" w:hAnsi="Arial" w:cs="Arial"/>
          <w:sz w:val="24"/>
          <w:szCs w:val="24"/>
          <w:lang w:val="en-GB"/>
        </w:rPr>
        <w:t xml:space="preserve">is </w:t>
      </w:r>
      <w:r w:rsidR="00FD77A7" w:rsidRPr="00883FC0">
        <w:rPr>
          <w:rFonts w:ascii="Arial" w:hAnsi="Arial" w:cs="Arial"/>
          <w:sz w:val="24"/>
          <w:szCs w:val="24"/>
          <w:lang w:val="en-GB"/>
        </w:rPr>
        <w:t>systematically eliminated when sheep are treated</w:t>
      </w:r>
      <w:r w:rsidR="00AE2A0A" w:rsidRPr="00286F0B">
        <w:rPr>
          <w:rFonts w:ascii="Arial" w:hAnsi="Arial" w:cs="Arial"/>
          <w:sz w:val="24"/>
          <w:szCs w:val="24"/>
          <w:highlight w:val="yellow"/>
          <w:lang w:val="en-GB"/>
        </w:rPr>
        <w:t>.</w:t>
      </w:r>
      <w:r w:rsidR="00286F0B" w:rsidRPr="00286F0B">
        <w:rPr>
          <w:rFonts w:ascii="Arial" w:hAnsi="Arial" w:cs="Arial"/>
          <w:sz w:val="24"/>
          <w:szCs w:val="24"/>
          <w:highlight w:val="yellow"/>
          <w:lang w:val="en-GB"/>
        </w:rPr>
        <w:t xml:space="preserve"> However, it is possible that</w:t>
      </w:r>
      <w:r w:rsidR="003E01B7" w:rsidRPr="00883FC0">
        <w:rPr>
          <w:rFonts w:ascii="Arial" w:hAnsi="Arial" w:cs="Arial"/>
          <w:sz w:val="24"/>
          <w:szCs w:val="24"/>
          <w:lang w:val="en-GB"/>
        </w:rPr>
        <w:t xml:space="preserve"> this observation may also be due to a sampling bias as the number of sheep sampled remains low.</w:t>
      </w:r>
    </w:p>
    <w:p w14:paraId="491F905D" w14:textId="4B3104C9" w:rsidR="003E01B7" w:rsidRPr="00883FC0" w:rsidRDefault="00877655" w:rsidP="00A0712B">
      <w:pPr>
        <w:spacing w:after="0" w:line="360" w:lineRule="auto"/>
        <w:ind w:firstLine="360"/>
        <w:jc w:val="both"/>
        <w:rPr>
          <w:rFonts w:ascii="Arial" w:hAnsi="Arial" w:cs="Arial"/>
          <w:sz w:val="24"/>
          <w:szCs w:val="24"/>
          <w:lang w:val="en-GB"/>
        </w:rPr>
      </w:pPr>
      <w:r w:rsidRPr="00883FC0">
        <w:rPr>
          <w:rFonts w:ascii="Arial" w:hAnsi="Arial" w:cs="Arial"/>
          <w:sz w:val="24"/>
          <w:szCs w:val="24"/>
          <w:lang w:val="en-GB"/>
        </w:rPr>
        <w:t>In</w:t>
      </w:r>
      <w:r w:rsidR="003E01B7" w:rsidRPr="00883FC0">
        <w:rPr>
          <w:rFonts w:ascii="Arial" w:hAnsi="Arial" w:cs="Arial"/>
          <w:sz w:val="24"/>
          <w:szCs w:val="24"/>
          <w:lang w:val="en-GB"/>
        </w:rPr>
        <w:t xml:space="preserve"> conclu</w:t>
      </w:r>
      <w:r w:rsidRPr="00883FC0">
        <w:rPr>
          <w:rFonts w:ascii="Arial" w:hAnsi="Arial" w:cs="Arial"/>
          <w:sz w:val="24"/>
          <w:szCs w:val="24"/>
          <w:lang w:val="en-GB"/>
        </w:rPr>
        <w:t>sion</w:t>
      </w:r>
      <w:r w:rsidR="003E01B7" w:rsidRPr="00883FC0">
        <w:rPr>
          <w:rFonts w:ascii="Arial" w:hAnsi="Arial" w:cs="Arial"/>
          <w:sz w:val="24"/>
          <w:szCs w:val="24"/>
          <w:lang w:val="en-GB"/>
        </w:rPr>
        <w:t>, transmission of gastrointestinal nematode species, including resistant nematode strains</w:t>
      </w:r>
      <w:r w:rsidRPr="00883FC0">
        <w:rPr>
          <w:rFonts w:ascii="Arial" w:hAnsi="Arial" w:cs="Arial"/>
          <w:sz w:val="24"/>
          <w:szCs w:val="24"/>
          <w:lang w:val="en-GB"/>
        </w:rPr>
        <w:t xml:space="preserve">, </w:t>
      </w:r>
      <w:r w:rsidR="003E01B7" w:rsidRPr="00883FC0">
        <w:rPr>
          <w:rFonts w:ascii="Arial" w:hAnsi="Arial" w:cs="Arial"/>
          <w:sz w:val="24"/>
          <w:szCs w:val="24"/>
          <w:lang w:val="en-GB"/>
        </w:rPr>
        <w:t>occur</w:t>
      </w:r>
      <w:r w:rsidR="00102B5D" w:rsidRPr="00102B5D">
        <w:rPr>
          <w:rFonts w:ascii="Arial" w:hAnsi="Arial" w:cs="Arial"/>
          <w:sz w:val="24"/>
          <w:szCs w:val="24"/>
          <w:highlight w:val="yellow"/>
          <w:lang w:val="en-GB"/>
        </w:rPr>
        <w:t>s</w:t>
      </w:r>
      <w:r w:rsidR="003E01B7" w:rsidRPr="00883FC0">
        <w:rPr>
          <w:rFonts w:ascii="Arial" w:hAnsi="Arial" w:cs="Arial"/>
          <w:sz w:val="24"/>
          <w:szCs w:val="24"/>
          <w:lang w:val="en-GB"/>
        </w:rPr>
        <w:t xml:space="preserve"> between sheep and ibex even </w:t>
      </w:r>
      <w:r w:rsidRPr="00883FC0">
        <w:rPr>
          <w:rFonts w:ascii="Arial" w:hAnsi="Arial" w:cs="Arial"/>
          <w:sz w:val="24"/>
          <w:szCs w:val="24"/>
          <w:lang w:val="en-GB"/>
        </w:rPr>
        <w:t>though</w:t>
      </w:r>
      <w:r w:rsidR="003E01B7" w:rsidRPr="00883FC0">
        <w:rPr>
          <w:rFonts w:ascii="Arial" w:hAnsi="Arial" w:cs="Arial"/>
          <w:sz w:val="24"/>
          <w:szCs w:val="24"/>
          <w:lang w:val="en-GB"/>
        </w:rPr>
        <w:t xml:space="preserve"> the contact </w:t>
      </w:r>
      <w:r w:rsidR="003E01B7" w:rsidRPr="00883FC0">
        <w:rPr>
          <w:rFonts w:ascii="Arial" w:hAnsi="Arial" w:cs="Arial"/>
          <w:sz w:val="24"/>
          <w:szCs w:val="24"/>
          <w:lang w:val="en-GB"/>
        </w:rPr>
        <w:lastRenderedPageBreak/>
        <w:t xml:space="preserve">between the two species </w:t>
      </w:r>
      <w:r w:rsidRPr="00883FC0">
        <w:rPr>
          <w:rFonts w:ascii="Arial" w:hAnsi="Arial" w:cs="Arial"/>
          <w:sz w:val="24"/>
          <w:szCs w:val="24"/>
          <w:lang w:val="en-GB"/>
        </w:rPr>
        <w:t xml:space="preserve">is </w:t>
      </w:r>
      <w:r w:rsidR="003E01B7" w:rsidRPr="00883FC0">
        <w:rPr>
          <w:rFonts w:ascii="Arial" w:hAnsi="Arial" w:cs="Arial"/>
          <w:sz w:val="24"/>
          <w:szCs w:val="24"/>
          <w:lang w:val="en-GB"/>
        </w:rPr>
        <w:t xml:space="preserve">limited to the summer period. </w:t>
      </w:r>
      <w:r w:rsidR="00102B5D" w:rsidRPr="00102B5D">
        <w:rPr>
          <w:rFonts w:ascii="Arial" w:hAnsi="Arial" w:cs="Arial"/>
          <w:sz w:val="24"/>
          <w:szCs w:val="24"/>
          <w:highlight w:val="yellow"/>
          <w:lang w:val="en-GB"/>
        </w:rPr>
        <w:t>Our</w:t>
      </w:r>
      <w:r w:rsidR="003E01B7" w:rsidRPr="00883FC0">
        <w:rPr>
          <w:rFonts w:ascii="Arial" w:hAnsi="Arial" w:cs="Arial"/>
          <w:sz w:val="24"/>
          <w:szCs w:val="24"/>
          <w:lang w:val="en-GB"/>
        </w:rPr>
        <w:t xml:space="preserve"> study</w:t>
      </w:r>
      <w:r w:rsidR="00102B5D">
        <w:rPr>
          <w:rFonts w:ascii="Arial" w:hAnsi="Arial" w:cs="Arial"/>
          <w:sz w:val="24"/>
          <w:szCs w:val="24"/>
          <w:lang w:val="en-GB"/>
        </w:rPr>
        <w:t xml:space="preserve"> </w:t>
      </w:r>
      <w:r w:rsidR="00102B5D" w:rsidRPr="00102B5D">
        <w:rPr>
          <w:rFonts w:ascii="Arial" w:hAnsi="Arial" w:cs="Arial"/>
          <w:sz w:val="24"/>
          <w:szCs w:val="24"/>
          <w:highlight w:val="yellow"/>
          <w:lang w:val="en-GB"/>
        </w:rPr>
        <w:t>specifically</w:t>
      </w:r>
      <w:r w:rsidR="003E01B7" w:rsidRPr="00883FC0">
        <w:rPr>
          <w:rFonts w:ascii="Arial" w:hAnsi="Arial" w:cs="Arial"/>
          <w:sz w:val="24"/>
          <w:szCs w:val="24"/>
          <w:lang w:val="en-GB"/>
        </w:rPr>
        <w:t xml:space="preserve"> demonstrat</w:t>
      </w:r>
      <w:r w:rsidR="00102B5D">
        <w:rPr>
          <w:rFonts w:ascii="Arial" w:hAnsi="Arial" w:cs="Arial"/>
          <w:sz w:val="24"/>
          <w:szCs w:val="24"/>
          <w:lang w:val="en-GB"/>
        </w:rPr>
        <w:t>es</w:t>
      </w:r>
      <w:r w:rsidR="003E01B7" w:rsidRPr="00883FC0">
        <w:rPr>
          <w:rFonts w:ascii="Arial" w:hAnsi="Arial" w:cs="Arial"/>
          <w:sz w:val="24"/>
          <w:szCs w:val="24"/>
          <w:lang w:val="en-GB"/>
        </w:rPr>
        <w:t xml:space="preserve"> th</w:t>
      </w:r>
      <w:r w:rsidR="007B7372" w:rsidRPr="00883FC0">
        <w:rPr>
          <w:rFonts w:ascii="Arial" w:hAnsi="Arial" w:cs="Arial"/>
          <w:sz w:val="24"/>
          <w:szCs w:val="24"/>
          <w:lang w:val="en-GB"/>
        </w:rPr>
        <w:t xml:space="preserve">at ibex can maintain and shed eggs </w:t>
      </w:r>
      <w:r w:rsidR="003E01B7" w:rsidRPr="00883FC0">
        <w:rPr>
          <w:rFonts w:ascii="Arial" w:hAnsi="Arial" w:cs="Arial"/>
          <w:sz w:val="24"/>
          <w:szCs w:val="24"/>
          <w:lang w:val="en-GB"/>
        </w:rPr>
        <w:t xml:space="preserve">of </w:t>
      </w:r>
      <w:r w:rsidR="007B7372" w:rsidRPr="00883FC0">
        <w:rPr>
          <w:rFonts w:ascii="Arial" w:hAnsi="Arial" w:cs="Arial"/>
          <w:sz w:val="24"/>
          <w:szCs w:val="24"/>
          <w:lang w:val="en-GB"/>
        </w:rPr>
        <w:t xml:space="preserve">resistant </w:t>
      </w:r>
      <w:r w:rsidR="003E01B7" w:rsidRPr="00883FC0">
        <w:rPr>
          <w:rFonts w:ascii="Arial" w:hAnsi="Arial" w:cs="Arial"/>
          <w:sz w:val="24"/>
          <w:szCs w:val="24"/>
          <w:lang w:val="en-GB"/>
        </w:rPr>
        <w:t xml:space="preserve">gastrointestinal nematodes </w:t>
      </w:r>
      <w:r w:rsidR="00B85E0D" w:rsidRPr="00B85E0D">
        <w:rPr>
          <w:rFonts w:ascii="Arial" w:hAnsi="Arial" w:cs="Arial"/>
          <w:sz w:val="24"/>
          <w:szCs w:val="24"/>
          <w:highlight w:val="yellow"/>
          <w:lang w:val="en-GB"/>
        </w:rPr>
        <w:t>even in</w:t>
      </w:r>
      <w:r w:rsidR="007B7372" w:rsidRPr="00883FC0">
        <w:rPr>
          <w:rFonts w:ascii="Arial" w:hAnsi="Arial" w:cs="Arial"/>
          <w:sz w:val="24"/>
          <w:szCs w:val="24"/>
          <w:lang w:val="en-GB"/>
        </w:rPr>
        <w:t xml:space="preserve"> the absence of </w:t>
      </w:r>
      <w:r w:rsidR="003E01B7" w:rsidRPr="00883FC0">
        <w:rPr>
          <w:rFonts w:ascii="Arial" w:hAnsi="Arial" w:cs="Arial"/>
          <w:sz w:val="24"/>
          <w:szCs w:val="24"/>
          <w:lang w:val="en-GB"/>
        </w:rPr>
        <w:t>sheep</w:t>
      </w:r>
      <w:r w:rsidR="007B7372" w:rsidRPr="00883FC0">
        <w:rPr>
          <w:rFonts w:ascii="Arial" w:hAnsi="Arial" w:cs="Arial"/>
          <w:sz w:val="24"/>
          <w:szCs w:val="24"/>
          <w:lang w:val="en-GB"/>
        </w:rPr>
        <w:t xml:space="preserve"> on pastures for several months, suggesting a potential</w:t>
      </w:r>
      <w:r w:rsidR="00B85E0D">
        <w:rPr>
          <w:rFonts w:ascii="Arial" w:hAnsi="Arial" w:cs="Arial"/>
          <w:sz w:val="24"/>
          <w:szCs w:val="24"/>
          <w:lang w:val="en-GB"/>
        </w:rPr>
        <w:t xml:space="preserve"> </w:t>
      </w:r>
      <w:r w:rsidR="00B85E0D" w:rsidRPr="00B85E0D">
        <w:rPr>
          <w:rFonts w:ascii="Arial" w:hAnsi="Arial" w:cs="Arial"/>
          <w:sz w:val="24"/>
          <w:szCs w:val="24"/>
          <w:highlight w:val="yellow"/>
          <w:lang w:val="en-GB"/>
        </w:rPr>
        <w:t>reservoir</w:t>
      </w:r>
      <w:r w:rsidR="007B7372" w:rsidRPr="00883FC0">
        <w:rPr>
          <w:rFonts w:ascii="Arial" w:hAnsi="Arial" w:cs="Arial"/>
          <w:sz w:val="24"/>
          <w:szCs w:val="24"/>
          <w:lang w:val="en-GB"/>
        </w:rPr>
        <w:t xml:space="preserve"> role </w:t>
      </w:r>
      <w:r w:rsidR="007B7372" w:rsidRPr="00B85E0D">
        <w:rPr>
          <w:rFonts w:ascii="Arial" w:hAnsi="Arial" w:cs="Arial"/>
          <w:sz w:val="24"/>
          <w:szCs w:val="24"/>
          <w:highlight w:val="yellow"/>
          <w:lang w:val="en-GB"/>
        </w:rPr>
        <w:t>f</w:t>
      </w:r>
      <w:r w:rsidR="00B85E0D" w:rsidRPr="00B85E0D">
        <w:rPr>
          <w:rFonts w:ascii="Arial" w:hAnsi="Arial" w:cs="Arial"/>
          <w:sz w:val="24"/>
          <w:szCs w:val="24"/>
          <w:highlight w:val="yellow"/>
          <w:lang w:val="en-GB"/>
        </w:rPr>
        <w:t>or</w:t>
      </w:r>
      <w:r w:rsidR="007B7372" w:rsidRPr="00883FC0">
        <w:rPr>
          <w:rFonts w:ascii="Arial" w:hAnsi="Arial" w:cs="Arial"/>
          <w:sz w:val="24"/>
          <w:szCs w:val="24"/>
          <w:lang w:val="en-GB"/>
        </w:rPr>
        <w:t xml:space="preserve"> ibex</w:t>
      </w:r>
      <w:r w:rsidR="003E01B7" w:rsidRPr="00883FC0">
        <w:rPr>
          <w:rFonts w:ascii="Arial" w:hAnsi="Arial" w:cs="Arial"/>
          <w:sz w:val="24"/>
          <w:szCs w:val="24"/>
          <w:lang w:val="en-GB"/>
        </w:rPr>
        <w:t xml:space="preserve">. However, the extent to which each host species </w:t>
      </w:r>
      <w:r w:rsidRPr="00883FC0">
        <w:rPr>
          <w:rFonts w:ascii="Arial" w:hAnsi="Arial" w:cs="Arial"/>
          <w:sz w:val="24"/>
          <w:szCs w:val="24"/>
          <w:lang w:val="en-GB"/>
        </w:rPr>
        <w:t>can</w:t>
      </w:r>
      <w:r w:rsidR="003E01B7" w:rsidRPr="00883FC0">
        <w:rPr>
          <w:rFonts w:ascii="Arial" w:hAnsi="Arial" w:cs="Arial"/>
          <w:sz w:val="24"/>
          <w:szCs w:val="24"/>
          <w:lang w:val="en-GB"/>
        </w:rPr>
        <w:t xml:space="preserve"> influence the nematode community of the other during the transhumant period remain</w:t>
      </w:r>
      <w:r w:rsidRPr="00883FC0">
        <w:rPr>
          <w:rFonts w:ascii="Arial" w:hAnsi="Arial" w:cs="Arial"/>
          <w:sz w:val="24"/>
          <w:szCs w:val="24"/>
          <w:lang w:val="en-GB"/>
        </w:rPr>
        <w:t>s</w:t>
      </w:r>
      <w:r w:rsidR="003E01B7" w:rsidRPr="00883FC0">
        <w:rPr>
          <w:rFonts w:ascii="Arial" w:hAnsi="Arial" w:cs="Arial"/>
          <w:sz w:val="24"/>
          <w:szCs w:val="24"/>
          <w:lang w:val="en-GB"/>
        </w:rPr>
        <w:t xml:space="preserve"> to be determined. </w:t>
      </w:r>
      <w:r w:rsidR="00B85E0D" w:rsidRPr="00B85E0D">
        <w:rPr>
          <w:rFonts w:ascii="Arial" w:eastAsia="Times New Roman" w:hAnsi="Arial" w:cs="Arial"/>
          <w:sz w:val="24"/>
          <w:szCs w:val="24"/>
          <w:highlight w:val="yellow"/>
          <w:lang w:val="en-US" w:eastAsia="fr-FR"/>
        </w:rPr>
        <w:t>A</w:t>
      </w:r>
      <w:r w:rsidR="00F527BF" w:rsidRPr="00883FC0">
        <w:rPr>
          <w:rFonts w:ascii="Arial" w:eastAsia="Times New Roman" w:hAnsi="Arial" w:cs="Arial"/>
          <w:sz w:val="24"/>
          <w:szCs w:val="24"/>
          <w:lang w:val="en-US" w:eastAsia="fr-FR"/>
        </w:rPr>
        <w:t xml:space="preserve"> temporal sampling</w:t>
      </w:r>
      <w:r w:rsidR="00B85E0D">
        <w:rPr>
          <w:rFonts w:ascii="Arial" w:eastAsia="Times New Roman" w:hAnsi="Arial" w:cs="Arial"/>
          <w:sz w:val="24"/>
          <w:szCs w:val="24"/>
          <w:lang w:val="en-US" w:eastAsia="fr-FR"/>
        </w:rPr>
        <w:t xml:space="preserve"> </w:t>
      </w:r>
      <w:r w:rsidR="00F527BF" w:rsidRPr="00883FC0">
        <w:rPr>
          <w:rFonts w:ascii="Arial" w:eastAsia="Times New Roman" w:hAnsi="Arial" w:cs="Arial"/>
          <w:sz w:val="24"/>
          <w:szCs w:val="24"/>
          <w:lang w:val="en-US" w:eastAsia="fr-FR"/>
        </w:rPr>
        <w:t>before, during and after the different host species share the same pasture</w:t>
      </w:r>
      <w:r w:rsidR="00B85E0D">
        <w:rPr>
          <w:rFonts w:ascii="Arial" w:eastAsia="Times New Roman" w:hAnsi="Arial" w:cs="Arial"/>
          <w:sz w:val="24"/>
          <w:szCs w:val="24"/>
          <w:lang w:val="en-US" w:eastAsia="fr-FR"/>
        </w:rPr>
        <w:t xml:space="preserve"> -</w:t>
      </w:r>
      <w:r w:rsidR="00F527BF" w:rsidRPr="00883FC0">
        <w:rPr>
          <w:rFonts w:ascii="Arial" w:eastAsia="Times New Roman" w:hAnsi="Arial" w:cs="Arial"/>
          <w:sz w:val="24"/>
          <w:szCs w:val="24"/>
          <w:lang w:val="en-US" w:eastAsia="fr-FR"/>
        </w:rPr>
        <w:t xml:space="preserve"> should be considered</w:t>
      </w:r>
      <w:r w:rsidR="00B85E0D">
        <w:rPr>
          <w:rFonts w:ascii="Arial" w:eastAsia="Times New Roman" w:hAnsi="Arial" w:cs="Arial"/>
          <w:sz w:val="24"/>
          <w:szCs w:val="24"/>
          <w:lang w:val="en-US" w:eastAsia="fr-FR"/>
        </w:rPr>
        <w:t xml:space="preserve"> </w:t>
      </w:r>
      <w:r w:rsidR="00B85E0D" w:rsidRPr="00B85E0D">
        <w:rPr>
          <w:rFonts w:ascii="Arial" w:eastAsia="Times New Roman" w:hAnsi="Arial" w:cs="Arial"/>
          <w:sz w:val="24"/>
          <w:szCs w:val="24"/>
          <w:highlight w:val="yellow"/>
          <w:lang w:val="en-US" w:eastAsia="fr-FR"/>
        </w:rPr>
        <w:t>for future studies</w:t>
      </w:r>
      <w:r w:rsidR="00F527BF" w:rsidRPr="00883FC0">
        <w:rPr>
          <w:rFonts w:ascii="Arial" w:eastAsia="Times New Roman" w:hAnsi="Arial" w:cs="Arial"/>
          <w:sz w:val="24"/>
          <w:szCs w:val="24"/>
          <w:lang w:val="en-US" w:eastAsia="fr-FR"/>
        </w:rPr>
        <w:t xml:space="preserve">. </w:t>
      </w:r>
      <w:r w:rsidR="00B85E0D" w:rsidRPr="00B85E0D">
        <w:rPr>
          <w:rFonts w:ascii="Arial" w:eastAsia="Times New Roman" w:hAnsi="Arial" w:cs="Arial"/>
          <w:sz w:val="24"/>
          <w:szCs w:val="24"/>
          <w:highlight w:val="yellow"/>
          <w:lang w:val="en-US" w:eastAsia="fr-FR"/>
        </w:rPr>
        <w:t>Additionally</w:t>
      </w:r>
      <w:r w:rsidR="00B85E0D">
        <w:rPr>
          <w:rFonts w:ascii="Arial" w:eastAsia="Times New Roman" w:hAnsi="Arial" w:cs="Arial"/>
          <w:sz w:val="24"/>
          <w:szCs w:val="24"/>
          <w:lang w:val="en-US" w:eastAsia="fr-FR"/>
        </w:rPr>
        <w:t>, a</w:t>
      </w:r>
      <w:r w:rsidR="00F527BF" w:rsidRPr="00883FC0">
        <w:rPr>
          <w:rFonts w:ascii="Arial" w:eastAsia="Times New Roman" w:hAnsi="Arial" w:cs="Arial"/>
          <w:sz w:val="24"/>
          <w:szCs w:val="24"/>
          <w:lang w:val="en-US" w:eastAsia="fr-FR"/>
        </w:rPr>
        <w:t xml:space="preserve">nalysis of parasite population structure using appropriate genetic markers </w:t>
      </w:r>
      <w:r w:rsidR="00B85E0D" w:rsidRPr="00B85E0D">
        <w:rPr>
          <w:rFonts w:ascii="Arial" w:eastAsia="Times New Roman" w:hAnsi="Arial" w:cs="Arial"/>
          <w:sz w:val="24"/>
          <w:szCs w:val="24"/>
          <w:highlight w:val="yellow"/>
          <w:lang w:val="en-US" w:eastAsia="fr-FR"/>
        </w:rPr>
        <w:t>such as</w:t>
      </w:r>
      <w:r w:rsidR="00B85E0D">
        <w:rPr>
          <w:rFonts w:ascii="Arial" w:eastAsia="Times New Roman" w:hAnsi="Arial" w:cs="Arial"/>
          <w:sz w:val="24"/>
          <w:szCs w:val="24"/>
          <w:lang w:val="en-US" w:eastAsia="fr-FR"/>
        </w:rPr>
        <w:t xml:space="preserve"> </w:t>
      </w:r>
      <w:r w:rsidR="00F527BF" w:rsidRPr="00883FC0">
        <w:rPr>
          <w:rFonts w:ascii="Arial" w:eastAsia="Times New Roman" w:hAnsi="Arial" w:cs="Arial"/>
          <w:sz w:val="24"/>
          <w:szCs w:val="24"/>
          <w:lang w:val="en-US" w:eastAsia="fr-FR"/>
        </w:rPr>
        <w:t xml:space="preserve"> microsatellites or SNPs</w:t>
      </w:r>
      <w:r w:rsidR="00B85E0D">
        <w:rPr>
          <w:rFonts w:ascii="Arial" w:eastAsia="Times New Roman" w:hAnsi="Arial" w:cs="Arial"/>
          <w:sz w:val="24"/>
          <w:szCs w:val="24"/>
          <w:lang w:val="en-US" w:eastAsia="fr-FR"/>
        </w:rPr>
        <w:t xml:space="preserve"> </w:t>
      </w:r>
      <w:r w:rsidR="00972C2A" w:rsidRPr="00883FC0">
        <w:rPr>
          <w:rFonts w:ascii="Arial" w:eastAsia="Times New Roman" w:hAnsi="Arial" w:cs="Arial"/>
          <w:sz w:val="24"/>
          <w:szCs w:val="24"/>
          <w:lang w:val="en-US" w:eastAsia="fr-FR"/>
        </w:rPr>
        <w:t>c</w:t>
      </w:r>
      <w:r w:rsidR="00F527BF" w:rsidRPr="00883FC0">
        <w:rPr>
          <w:rFonts w:ascii="Arial" w:eastAsia="Times New Roman" w:hAnsi="Arial" w:cs="Arial"/>
          <w:sz w:val="24"/>
          <w:szCs w:val="24"/>
          <w:lang w:val="en-US" w:eastAsia="fr-FR"/>
        </w:rPr>
        <w:t>ould</w:t>
      </w:r>
      <w:r w:rsidR="005E7CD6" w:rsidRPr="00883FC0">
        <w:rPr>
          <w:rFonts w:ascii="Arial" w:eastAsia="Times New Roman" w:hAnsi="Arial" w:cs="Arial"/>
          <w:sz w:val="24"/>
          <w:szCs w:val="24"/>
          <w:lang w:val="en-US" w:eastAsia="fr-FR"/>
        </w:rPr>
        <w:t xml:space="preserve"> </w:t>
      </w:r>
      <w:r w:rsidR="00F527BF" w:rsidRPr="00883FC0">
        <w:rPr>
          <w:rFonts w:ascii="Arial" w:eastAsia="Times New Roman" w:hAnsi="Arial" w:cs="Arial"/>
          <w:sz w:val="24"/>
          <w:szCs w:val="24"/>
          <w:lang w:val="en-US" w:eastAsia="fr-FR"/>
        </w:rPr>
        <w:t xml:space="preserve">quantify gene flow between ibex and sheep nematode populations </w:t>
      </w:r>
      <w:r w:rsidR="00F527BF" w:rsidRPr="00883FC0">
        <w:rPr>
          <w:rFonts w:ascii="Arial" w:eastAsia="Times New Roman" w:hAnsi="Arial" w:cs="Arial"/>
          <w:sz w:val="24"/>
          <w:szCs w:val="24"/>
          <w:lang w:val="en-US" w:eastAsia="fr-FR"/>
        </w:rPr>
        <w:fldChar w:fldCharType="begin"/>
      </w:r>
      <w:r w:rsidR="00F527BF" w:rsidRPr="00883FC0">
        <w:rPr>
          <w:rFonts w:ascii="Arial" w:eastAsia="Times New Roman" w:hAnsi="Arial" w:cs="Arial"/>
          <w:sz w:val="24"/>
          <w:szCs w:val="24"/>
          <w:lang w:val="en-US" w:eastAsia="fr-FR"/>
        </w:rPr>
        <w:instrText xml:space="preserve"> ADDIN ZOTERO_ITEM CSL_CITATION {"citationID":"HqS8Fwky","properties":{"formattedCitation":"(Cerutti et al., 2010)","plainCitation":"(Cerutti et al., 2010)","noteIndex":0},"citationItems":[{"id":631,"uris":["http://zotero.org/users/local/NciqjDvn/items/7L2VHUIH"],"itemData":{"id":631,"type":"article-journal","abstract":"Genetic variability of the ovine parasite Haemonchus contortus from the Alpine area was investigated using mitochondrial DNA (nd4 gene), internal transcribed spacers 1 and 2 and microsatellites, in order to assess whether cross-transmission between domestic and wild ruminants occurs. The dataset was composed of 78 individual adult male H. contortus collected from chamois (Rupicapra r. rupicapra), roe deer (Capreolus capreolus), alpine ibex (Capra ibex ibex), domestic goat (Capra hircus) and sheep (Ovis aries) from different alpine areas. The data obtained show low host specificity and high genetic variation within H. contortus populations. The analyses indicate the presence of two mitochondrial haplotype clusters among host species and the absence of cryptic parasite species, confirming H. contortus as a generalist nematode and suggesting that parasite transmission between populations of domestic and wild ruminants normally occurs.","container-title":"Journal of Helminthology","DOI":"10.1017/S0022149X09990587","ISSN":"1475-2697, 0022-149X","issue":"3","language":"en","page":"276-283","source":"Cambridge Core","title":"Genetic variability of &lt;i&gt;Haemonchus contortus&lt;/i&gt; (Nematoda: Trichostrongyloidea) in alpine ruminant host species","title-short":"Genetic variability of Haemonchus contortus (Nematoda","volume":"84","author":[{"family":"Cerutti","given":"M. C."},{"family":"Citterio","given":"C. V."},{"family":"Bazzocchi","given":"C."},{"family":"Epis","given":"S."},{"family":"D'Amelio","given":"S."},{"family":"Ferrari","given":"N."},{"family":"Lanfranchi","given":"P."}],"issued":{"date-parts":[["2010",9]]}}}],"schema":"https://github.com/citation-style-language/schema/raw/master/csl-citation.json"} </w:instrText>
      </w:r>
      <w:r w:rsidR="00F527BF" w:rsidRPr="00883FC0">
        <w:rPr>
          <w:rFonts w:ascii="Arial" w:eastAsia="Times New Roman" w:hAnsi="Arial" w:cs="Arial"/>
          <w:sz w:val="24"/>
          <w:szCs w:val="24"/>
          <w:lang w:val="en-US" w:eastAsia="fr-FR"/>
        </w:rPr>
        <w:fldChar w:fldCharType="separate"/>
      </w:r>
      <w:r w:rsidR="00F527BF" w:rsidRPr="00883FC0">
        <w:rPr>
          <w:rFonts w:ascii="Arial" w:hAnsi="Arial" w:cs="Arial"/>
          <w:sz w:val="24"/>
          <w:lang w:val="en-US"/>
        </w:rPr>
        <w:t>(Cerutti et al., 2010)</w:t>
      </w:r>
      <w:r w:rsidR="00F527BF" w:rsidRPr="00883FC0">
        <w:rPr>
          <w:rFonts w:ascii="Arial" w:eastAsia="Times New Roman" w:hAnsi="Arial" w:cs="Arial"/>
          <w:sz w:val="24"/>
          <w:szCs w:val="24"/>
          <w:lang w:val="en-US" w:eastAsia="fr-FR"/>
        </w:rPr>
        <w:fldChar w:fldCharType="end"/>
      </w:r>
      <w:r w:rsidR="00F527BF" w:rsidRPr="00883FC0">
        <w:rPr>
          <w:rFonts w:ascii="Arial" w:eastAsia="Times New Roman" w:hAnsi="Arial" w:cs="Arial"/>
          <w:sz w:val="24"/>
          <w:szCs w:val="24"/>
          <w:lang w:val="en-US" w:eastAsia="fr-FR"/>
        </w:rPr>
        <w:t xml:space="preserve">. </w:t>
      </w:r>
      <w:r w:rsidR="00B85E0D" w:rsidRPr="00B85E0D">
        <w:rPr>
          <w:rFonts w:ascii="Arial" w:eastAsia="Times New Roman" w:hAnsi="Arial" w:cs="Arial"/>
          <w:sz w:val="24"/>
          <w:szCs w:val="24"/>
          <w:highlight w:val="yellow"/>
          <w:lang w:val="en-US" w:eastAsia="fr-FR"/>
        </w:rPr>
        <w:t>Next</w:t>
      </w:r>
      <w:r w:rsidR="00F527BF" w:rsidRPr="00883FC0">
        <w:rPr>
          <w:rFonts w:ascii="Arial" w:eastAsia="Times New Roman" w:hAnsi="Arial" w:cs="Arial"/>
          <w:sz w:val="24"/>
          <w:szCs w:val="24"/>
          <w:lang w:val="en-US" w:eastAsia="fr-FR"/>
        </w:rPr>
        <w:t xml:space="preserve">, intervention studies </w:t>
      </w:r>
      <w:r w:rsidR="005E7CD6" w:rsidRPr="00883FC0">
        <w:rPr>
          <w:rFonts w:ascii="Arial" w:eastAsia="Times New Roman" w:hAnsi="Arial" w:cs="Arial"/>
          <w:sz w:val="24"/>
          <w:szCs w:val="24"/>
          <w:lang w:val="en-US" w:eastAsia="fr-FR"/>
        </w:rPr>
        <w:t>could be employed</w:t>
      </w:r>
      <w:r w:rsidR="00F527BF" w:rsidRPr="00883FC0">
        <w:rPr>
          <w:rFonts w:ascii="Arial" w:eastAsia="Times New Roman" w:hAnsi="Arial" w:cs="Arial"/>
          <w:sz w:val="24"/>
          <w:szCs w:val="24"/>
          <w:lang w:val="en-US" w:eastAsia="fr-FR"/>
        </w:rPr>
        <w:t xml:space="preserve"> to infer the role of ibex in maintaining nematode populations shared between the two host species</w:t>
      </w:r>
      <w:r w:rsidR="00F527BF" w:rsidRPr="00883FC0" w:rsidDel="00CF50B0">
        <w:rPr>
          <w:rFonts w:ascii="Arial" w:eastAsia="Times New Roman" w:hAnsi="Arial" w:cs="Arial"/>
          <w:sz w:val="24"/>
          <w:szCs w:val="24"/>
          <w:lang w:val="en-US" w:eastAsia="fr-FR"/>
        </w:rPr>
        <w:t xml:space="preserve"> </w:t>
      </w:r>
      <w:r w:rsidR="00F527BF" w:rsidRPr="00883FC0">
        <w:rPr>
          <w:rFonts w:ascii="Arial" w:eastAsia="Times New Roman" w:hAnsi="Arial" w:cs="Arial"/>
          <w:sz w:val="24"/>
          <w:szCs w:val="24"/>
          <w:lang w:val="en-US" w:eastAsia="fr-FR"/>
        </w:rPr>
        <w:fldChar w:fldCharType="begin"/>
      </w:r>
      <w:r w:rsidR="00F527BF" w:rsidRPr="00883FC0">
        <w:rPr>
          <w:rFonts w:ascii="Arial" w:eastAsia="Times New Roman" w:hAnsi="Arial" w:cs="Arial"/>
          <w:sz w:val="24"/>
          <w:szCs w:val="24"/>
          <w:lang w:val="en-US" w:eastAsia="fr-FR"/>
        </w:rPr>
        <w:instrText xml:space="preserve"> ADDIN ZOTERO_ITEM CSL_CITATION {"citationID":"smgMOJJb","properties":{"formattedCitation":"(Viana et al., 2014)","plainCitation":"(Viana et al., 2014)","noteIndex":0},"citationItems":[{"id":4770,"uris":["http://zotero.org/users/local/NciqjDvn/items/8LFGGYLV"],"itemData":{"id":4770,"type":"article-journal","abstract":"Many pathogens persist in multihost systems, making the identification of infection reservoirs crucial for devising effective interventions. Here, we present a conceptual framework for classifying patterns of incidence and prevalence, and review recent scientific advances that allow us to study and manage reservoirs simultaneously. We argue that interventions can have a crucial role in enriching our mechanistic understanding of how reservoirs function and should be embedded as quasi-experimental studies in adaptive management frameworks. Single approaches to the study of reservoirs are unlikely to generate conclusive insights whereas the formal integration of data and methodologies, involving interventions, pathogen genetics, and contemporary surveillance techniques, promises to open up new opportunities to advance understanding of complex multihost systems.","container-title":"Trends in Ecology &amp; Evolution","DOI":"10.1016/j.tree.2014.03.002","ISSN":"0169-5347","issue":"5","journalAbbreviation":"Trends in Ecology &amp; Evolution","language":"en","page":"270-279","source":"ScienceDirect","title":"Assembling evidence for identifying reservoirs of infection","volume":"29","author":[{"family":"Viana","given":"Mafalda"},{"family":"Mancy","given":"Rebecca"},{"family":"Biek","given":"Roman"},{"family":"Cleaveland","given":"Sarah"},{"family":"Cross","given":"Paul C."},{"family":"Lloyd-Smith","given":"James O."},{"family":"Haydon","given":"Daniel T."}],"issued":{"date-parts":[["2014",5,1]]}}}],"schema":"https://github.com/citation-style-language/schema/raw/master/csl-citation.json"} </w:instrText>
      </w:r>
      <w:r w:rsidR="00F527BF" w:rsidRPr="00883FC0">
        <w:rPr>
          <w:rFonts w:ascii="Arial" w:eastAsia="Times New Roman" w:hAnsi="Arial" w:cs="Arial"/>
          <w:sz w:val="24"/>
          <w:szCs w:val="24"/>
          <w:lang w:val="en-US" w:eastAsia="fr-FR"/>
        </w:rPr>
        <w:fldChar w:fldCharType="separate"/>
      </w:r>
      <w:r w:rsidR="00F527BF" w:rsidRPr="00883FC0">
        <w:rPr>
          <w:rFonts w:ascii="Arial" w:hAnsi="Arial" w:cs="Arial"/>
          <w:sz w:val="24"/>
          <w:szCs w:val="24"/>
          <w:lang w:val="en-US"/>
        </w:rPr>
        <w:t>(Viana et al., 2014)</w:t>
      </w:r>
      <w:r w:rsidR="00F527BF" w:rsidRPr="00883FC0">
        <w:rPr>
          <w:rFonts w:ascii="Arial" w:eastAsia="Times New Roman" w:hAnsi="Arial" w:cs="Arial"/>
          <w:sz w:val="24"/>
          <w:szCs w:val="24"/>
          <w:lang w:val="en-US" w:eastAsia="fr-FR"/>
        </w:rPr>
        <w:fldChar w:fldCharType="end"/>
      </w:r>
      <w:r w:rsidR="00F527BF" w:rsidRPr="00883FC0">
        <w:rPr>
          <w:rFonts w:ascii="Arial" w:eastAsia="Times New Roman" w:hAnsi="Arial" w:cs="Arial"/>
          <w:sz w:val="24"/>
          <w:szCs w:val="24"/>
          <w:lang w:val="en-US" w:eastAsia="fr-FR"/>
        </w:rPr>
        <w:t xml:space="preserve">. Experimental infections of captive ibex or monitoring free-ranging ibex populations after access to alpine pastures has been restricted to livestock should help us to refine the ability of ibex to maintain nematodes from domestic ungulates, including resistant nematodes. Finally, epidemiological models could be useful tools to better understand the dynamics of resistant parasites at the livestock-wildlife interface </w:t>
      </w:r>
      <w:r w:rsidR="00F527BF" w:rsidRPr="00883FC0">
        <w:rPr>
          <w:rFonts w:ascii="Arial" w:eastAsia="Times New Roman" w:hAnsi="Arial" w:cs="Arial"/>
          <w:sz w:val="24"/>
          <w:szCs w:val="24"/>
          <w:lang w:val="en-US" w:eastAsia="fr-FR"/>
        </w:rPr>
        <w:fldChar w:fldCharType="begin"/>
      </w:r>
      <w:r w:rsidR="00E27C7B" w:rsidRPr="00883FC0">
        <w:rPr>
          <w:rFonts w:ascii="Arial" w:eastAsia="Times New Roman" w:hAnsi="Arial" w:cs="Arial"/>
          <w:sz w:val="24"/>
          <w:szCs w:val="24"/>
          <w:lang w:val="en-US" w:eastAsia="fr-FR"/>
        </w:rPr>
        <w:instrText xml:space="preserve"> ADDIN ZOTERO_ITEM CSL_CITATION {"citationID":"CHEXmtwG","properties":{"formattedCitation":"(Brown et al., 2022; Dickinson et al., 2024)","plainCitation":"(Brown et al., 2022; Dickinson et al., 2024)","noteIndex":0},"citationItems":[{"id":2533,"uris":["http://zotero.org/users/local/NciqjDvn/items/VB9GI6F2"],"itemData":{"id":2533,"type":"article-journal","abstract":"Wild ruminants are susceptible to infection from generalist helminth species, which can also infect domestic ruminants. A better understanding is required of the conditions under which wild ruminants can act as a source of helminths (including anthelmintic-resistant genotypes) for domestic ruminants, and vice versa, with the added possibility that wildlife could act as refugia for drug-susceptible genotypes and hence buffer the spread and development of resistance. Helminth infections cause significant productivity losses in domestic ruminants and a growing resistance to all classes of anthelmintic drug escalates concerns around helminth infection in the livestock industry. Previous research demonstrates that drug-resistant strains of the pathogenic nematode Haemonchus contortus can be transmitted between wild and domestic ruminants, and that gastro-intestinal nematode infections are more intense in wild ruminants within areas of high livestock density. In this article, the factors likely to influence the role of wild ruminants in helminth infections and anthelmintic resistance in livestock are considered, including host population movement across heterogeneous landscapes, and the effects of climate and environment on parasite dynamics. Methods of predicting and validating suspected drivers of helminth transmission in this context are considered based on advances in predictive modelling and molecular tools.","container-title":"Biology Letters","DOI":"10.1098/rsbl.2022.0057","issue":"5","note":"publisher: Royal Society","page":"20220057","source":"royalsocietypublishing-org.univ-smb.idm.oclc.org (Atypon)","title":"Understanding the role of wild ruminants in anthelmintic resistance in livestock","volume":"18","author":[{"family":"Brown","given":"Tony L."},{"family":"Airs","given":"Paul M."},{"family":"Porter","given":"Siobhán"},{"family":"Caplat","given":"Paul"},{"family":"Morgan","given":"Eric R."}],"issued":{"date-parts":[["2022"]]}}},{"id":5059,"uris":["http://zotero.org/users/local/NciqjDvn/items/IBH82Q94"],"itemData":{"id":5059,"type":"article-journal","abstract":"Climate change is shifting the transmission of parasites, which is determined by host density, ambient temperature and moisture. These shifts can lead to increased pressure from parasites, in wild and domestic animals, and can impact the effectiveness of parasite control strategies. Understanding the interactive effects of climate on host movement and parasite life histories will enable targeted parasite management, to ensure livestock productivity and avoid additional stress on wildlife populations. To assess complex outcomes under climate change, we applied a gastrointestinal nematode transmission model to a montane wildlife–livestock system, based on host movement and changes in abiotic factors due to elevation, comparing projected climate change scenarios with the historic climate. The wildlife host, Alpine ibex (Capra ibex ibex), undergoes seasonal elevational migration, and livestock are grazed during the summer for eight weeks. Total parasite infection pressure was more sensitive to host movement than to the direct effect of climatic conditions on parasite availability. Extended livestock grazing is predicted to increase parasite exposure for wildlife. These results demonstrate that movement of different host species should be considered when predicting the effects of climate change on parasite transmission, and can inform decisions to support wildlife and livestock health.","container-title":"Royal Society Open Science","DOI":"10.1098/rsos.230469","issue":"1","note":"publisher: Royal Society","page":"230469","source":"royalsocietypublishing.org (Atypon)","title":"Host movement dominates the predicted effects of climate change on parasite transmission between wild and domestic mountain ungulates","volume":"11","author":[{"family":"Dickinson","given":"Eleanor R."},{"family":"McFarland","given":"Christopher"},{"family":"Toïgo","given":"Carole"},{"family":"Michael Scantlebury","given":"D."},{"family":"Stephens","given":"Philip A."},{"family":"Marks","given":"Nikki J."},{"family":"Morgan","given":"Eric R."}],"issued":{"date-parts":[["2024",1,3]]}}}],"schema":"https://github.com/citation-style-language/schema/raw/master/csl-citation.json"} </w:instrText>
      </w:r>
      <w:r w:rsidR="00F527BF" w:rsidRPr="00883FC0">
        <w:rPr>
          <w:rFonts w:ascii="Arial" w:eastAsia="Times New Roman" w:hAnsi="Arial" w:cs="Arial"/>
          <w:sz w:val="24"/>
          <w:szCs w:val="24"/>
          <w:lang w:val="en-US" w:eastAsia="fr-FR"/>
        </w:rPr>
        <w:fldChar w:fldCharType="separate"/>
      </w:r>
      <w:r w:rsidR="00E27C7B" w:rsidRPr="00883FC0">
        <w:rPr>
          <w:rFonts w:ascii="Arial" w:hAnsi="Arial" w:cs="Arial"/>
          <w:sz w:val="24"/>
          <w:lang w:val="en-US"/>
        </w:rPr>
        <w:t>(Brown et al., 2022; Dickinson et al., 2024)</w:t>
      </w:r>
      <w:r w:rsidR="00F527BF" w:rsidRPr="00883FC0">
        <w:rPr>
          <w:rFonts w:ascii="Arial" w:eastAsia="Times New Roman" w:hAnsi="Arial" w:cs="Arial"/>
          <w:sz w:val="24"/>
          <w:szCs w:val="24"/>
          <w:lang w:val="en-US" w:eastAsia="fr-FR"/>
        </w:rPr>
        <w:fldChar w:fldCharType="end"/>
      </w:r>
      <w:r w:rsidR="00F527BF" w:rsidRPr="00883FC0">
        <w:rPr>
          <w:rFonts w:ascii="Arial" w:eastAsia="Times New Roman" w:hAnsi="Arial" w:cs="Arial"/>
          <w:sz w:val="24"/>
          <w:szCs w:val="24"/>
          <w:lang w:val="en-US" w:eastAsia="fr-FR"/>
        </w:rPr>
        <w:t>.</w:t>
      </w:r>
      <w:r w:rsidR="003E01B7" w:rsidRPr="00883FC0">
        <w:rPr>
          <w:rFonts w:ascii="Arial" w:hAnsi="Arial" w:cs="Arial"/>
          <w:sz w:val="24"/>
          <w:szCs w:val="24"/>
          <w:lang w:val="en-GB"/>
        </w:rPr>
        <w:t xml:space="preserve"> The lower proportion of resistance allele</w:t>
      </w:r>
      <w:r w:rsidR="006C095A" w:rsidRPr="00883FC0">
        <w:rPr>
          <w:rFonts w:ascii="Arial" w:hAnsi="Arial" w:cs="Arial"/>
          <w:sz w:val="24"/>
          <w:szCs w:val="24"/>
          <w:lang w:val="en-GB"/>
        </w:rPr>
        <w:t>s</w:t>
      </w:r>
      <w:r w:rsidR="003E01B7" w:rsidRPr="00883FC0">
        <w:rPr>
          <w:rFonts w:ascii="Arial" w:hAnsi="Arial" w:cs="Arial"/>
          <w:sz w:val="24"/>
          <w:szCs w:val="24"/>
          <w:lang w:val="en-GB"/>
        </w:rPr>
        <w:t xml:space="preserve"> in ibex compared </w:t>
      </w:r>
      <w:r w:rsidR="006C095A" w:rsidRPr="00883FC0">
        <w:rPr>
          <w:rFonts w:ascii="Arial" w:hAnsi="Arial" w:cs="Arial"/>
          <w:sz w:val="24"/>
          <w:szCs w:val="24"/>
          <w:lang w:val="en-GB"/>
        </w:rPr>
        <w:t>to</w:t>
      </w:r>
      <w:r w:rsidR="003E01B7" w:rsidRPr="00883FC0">
        <w:rPr>
          <w:rFonts w:ascii="Arial" w:hAnsi="Arial" w:cs="Arial"/>
          <w:sz w:val="24"/>
          <w:szCs w:val="24"/>
          <w:lang w:val="en-GB"/>
        </w:rPr>
        <w:t xml:space="preserve"> sheep </w:t>
      </w:r>
      <w:r w:rsidRPr="00883FC0">
        <w:rPr>
          <w:rFonts w:ascii="Arial" w:hAnsi="Arial" w:cs="Arial"/>
          <w:sz w:val="24"/>
          <w:szCs w:val="24"/>
          <w:lang w:val="en-GB"/>
        </w:rPr>
        <w:t>underlines</w:t>
      </w:r>
      <w:r w:rsidR="003E01B7" w:rsidRPr="00883FC0">
        <w:rPr>
          <w:rFonts w:ascii="Arial" w:hAnsi="Arial" w:cs="Arial"/>
          <w:sz w:val="24"/>
          <w:szCs w:val="24"/>
          <w:lang w:val="en-GB"/>
        </w:rPr>
        <w:t xml:space="preserve"> the possibility that ibex could contribute to the maintenance</w:t>
      </w:r>
      <w:r w:rsidRPr="00883FC0">
        <w:rPr>
          <w:rFonts w:ascii="Arial" w:hAnsi="Arial" w:cs="Arial"/>
          <w:sz w:val="24"/>
          <w:szCs w:val="24"/>
          <w:lang w:val="en-GB"/>
        </w:rPr>
        <w:t xml:space="preserve"> and circulation</w:t>
      </w:r>
      <w:r w:rsidR="003E01B7" w:rsidRPr="00883FC0">
        <w:rPr>
          <w:rFonts w:ascii="Arial" w:hAnsi="Arial" w:cs="Arial"/>
          <w:sz w:val="24"/>
          <w:szCs w:val="24"/>
          <w:lang w:val="en-GB"/>
        </w:rPr>
        <w:t xml:space="preserve"> of susceptible strains </w:t>
      </w:r>
      <w:r w:rsidRPr="00883FC0">
        <w:rPr>
          <w:rFonts w:ascii="Arial" w:hAnsi="Arial" w:cs="Arial"/>
          <w:sz w:val="24"/>
          <w:szCs w:val="24"/>
          <w:lang w:val="en-GB"/>
        </w:rPr>
        <w:t>in</w:t>
      </w:r>
      <w:r w:rsidR="003E01B7" w:rsidRPr="00883FC0">
        <w:rPr>
          <w:rFonts w:ascii="Arial" w:hAnsi="Arial" w:cs="Arial"/>
          <w:sz w:val="24"/>
          <w:szCs w:val="24"/>
          <w:lang w:val="en-GB"/>
        </w:rPr>
        <w:t xml:space="preserve"> sheep. As with roe deer</w:t>
      </w:r>
      <w:r w:rsidR="00D25A90" w:rsidRPr="00883FC0">
        <w:rPr>
          <w:rFonts w:ascii="Arial" w:hAnsi="Arial" w:cs="Arial"/>
          <w:sz w:val="24"/>
          <w:szCs w:val="24"/>
          <w:lang w:val="en-GB"/>
        </w:rPr>
        <w:t xml:space="preserve"> </w:t>
      </w:r>
      <w:r w:rsidR="00D25A90"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{"citationID":"19hXEfQ5","properties":{"formattedCitation":"(Beaumelle et al., 2022)","plainCitation":"(Beaumelle et al., 2022)","noteIndex":0},"citationItems":[{"id":3551,"uris":["http://zotero.org/users/local/NciqjDvn/items/CXSW5XXN"],"itemData":{"id":3551,"type":"article-journal","abstract":"The growth of livestock farming and the recent expansion of wild ungulate populations in Europe favor opportunities for direct and/or indirect cross-transmission of pathogens. Comparatively few studies have investigated the epidemiology of gastro-intestinal nematode parasites, an ubiquitous and important community of parasites of ungulates, at the wildlife/livestock interface. In this study, we aimed to assess the influence of livestock proximity on the gastrointestinal nematode community of roe deer in a rural landscape located in southern France. Using ITS-2 rDNA nemabiome metabarcoding on fecal larvae, we analysed the gastrointestinal nematode communities of roe deer and sheep. In addition, we investigated Haemonchus contortus nad4 mtDNA diversity to specifically test parasite circulation among domestic and wild host populations. The dominant gastrointestinal nematode species found in both the roe deer and sheep were generalist species commonly found in small ruminant livestock (e.g. H. contortus), whereas the more specialised wild cervid nematode species (e.g. Ostertagia leptospicularis) were only present at low frequencies. This is in marked contrast with previous studies that found the nemabiomes of wild cervid populations to be dominated by cervid specialist nematode species. In addition, the lack of genetic structure of the nad4 mtDNA of H. contortus populations between host species suggests circulation of gastrointestinal nematodes between roe deer and sheep. The risk of contact with livestock only has a small influence on the nemabiome of roe deer, suggesting the parasite population of roe deer has been displaced by generalist livestock parasites due to many decades of sheep farming, not only for deer grazing close to pastures, but also at a larger regional scale. We also observed some seasonal variation in the nemabiome composition of roe deer. Overall, our results demonstrate significant exchange of gastrointestinal nematodes between domestic and wild ungulates, with generalist species spilling over from domestic ungulates dominating wild cervid parasite communities.","container-title":"International Journal for Parasitology","DOI":"10.1016/j.ijpara.2022.07.005","ISSN":"0020-7519","journalAbbreviation":"International Journal for Parasitology","language":"en","source":"ScienceDirect","title":"Generalist nematodes dominate the nemabiome of roe deer in sympatry with sheep at a regional level","URL":"https://www.sciencedirect.com/science/article/pii/S0020751922001175","author":[{"family":"Beaumelle","given":"Camille"},{"family":"Redman","given":"Elizabeth"},{"family":"Verheyden","given":"Hélène"},{"family":"Jacquiet","given":"Philippe"},{"family":"Bégoc","given":"Noémie"},{"family":"Veyssière","given":"Florence"},{"family":"Benabed","given":"Slimania"},{"family":"Cargnelutti","given":"Bruno"},{"family":"Lourtet","given":"Bruno"},{"family":"Poirel","given":"Marie-Thérèse"},{"family":"Rijke","given":"Jill","non-dropping-particle":"de"},{"family":"Yannic","given":"Glenn"},{"family":"Gilleard","given":"John S."},{"family":"Bourgoin","given":"Gilles"}],"accessed":{"date-parts":[["2022",11,24]]},"issued":{"date-parts":[["2022",9,30]]}}}],"schema":"https://github.com/citation-style-language/schema/raw/master/csl-citation.json"} </w:instrText>
      </w:r>
      <w:r w:rsidR="00D25A90" w:rsidRPr="00883FC0">
        <w:rPr>
          <w:rFonts w:ascii="Arial" w:hAnsi="Arial" w:cs="Arial"/>
          <w:sz w:val="24"/>
          <w:szCs w:val="24"/>
          <w:lang w:val="en-GB"/>
        </w:rPr>
        <w:fldChar w:fldCharType="separate"/>
      </w:r>
      <w:r w:rsidR="00991FDE" w:rsidRPr="00883FC0">
        <w:rPr>
          <w:rFonts w:ascii="Arial" w:hAnsi="Arial" w:cs="Arial"/>
          <w:sz w:val="24"/>
          <w:lang w:val="en-US"/>
        </w:rPr>
        <w:t>(Beaumelle et al., 2022)</w:t>
      </w:r>
      <w:r w:rsidR="00D25A90" w:rsidRPr="00883FC0">
        <w:rPr>
          <w:rFonts w:ascii="Arial" w:hAnsi="Arial" w:cs="Arial"/>
          <w:sz w:val="24"/>
          <w:szCs w:val="24"/>
          <w:lang w:val="en-GB"/>
        </w:rPr>
        <w:fldChar w:fldCharType="end"/>
      </w:r>
      <w:r w:rsidR="003E01B7" w:rsidRPr="00883FC0">
        <w:rPr>
          <w:rFonts w:ascii="Arial" w:hAnsi="Arial" w:cs="Arial"/>
          <w:sz w:val="24"/>
          <w:szCs w:val="24"/>
          <w:lang w:val="en-GB"/>
        </w:rPr>
        <w:t>, domestic sheep contribute to the modification of the nemabiome of ibex. This raises concerns about ibex</w:t>
      </w:r>
      <w:r w:rsidR="006C095A" w:rsidRPr="00883FC0">
        <w:rPr>
          <w:rFonts w:ascii="Arial" w:hAnsi="Arial" w:cs="Arial"/>
          <w:sz w:val="24"/>
          <w:szCs w:val="24"/>
          <w:lang w:val="en-GB"/>
        </w:rPr>
        <w:t xml:space="preserve"> conservation</w:t>
      </w:r>
      <w:r w:rsidRPr="00883FC0">
        <w:rPr>
          <w:rFonts w:ascii="Arial" w:hAnsi="Arial" w:cs="Arial"/>
          <w:sz w:val="24"/>
          <w:szCs w:val="24"/>
          <w:lang w:val="en-GB"/>
        </w:rPr>
        <w:t>,</w:t>
      </w:r>
      <w:r w:rsidR="003E01B7" w:rsidRPr="00883FC0">
        <w:rPr>
          <w:rFonts w:ascii="Arial" w:hAnsi="Arial" w:cs="Arial"/>
          <w:sz w:val="24"/>
          <w:szCs w:val="24"/>
          <w:lang w:val="en-GB"/>
        </w:rPr>
        <w:t xml:space="preserve"> and </w:t>
      </w:r>
      <w:r w:rsidRPr="00883FC0">
        <w:rPr>
          <w:rFonts w:ascii="Arial" w:hAnsi="Arial" w:cs="Arial"/>
          <w:sz w:val="24"/>
          <w:szCs w:val="24"/>
          <w:lang w:val="en-GB"/>
        </w:rPr>
        <w:t xml:space="preserve">the </w:t>
      </w:r>
      <w:r w:rsidR="003E01B7" w:rsidRPr="00883FC0">
        <w:rPr>
          <w:rFonts w:ascii="Arial" w:hAnsi="Arial" w:cs="Arial"/>
          <w:sz w:val="24"/>
          <w:szCs w:val="24"/>
          <w:lang w:val="en-GB"/>
        </w:rPr>
        <w:t>consequences of</w:t>
      </w:r>
      <w:r w:rsidRPr="00883FC0">
        <w:rPr>
          <w:rFonts w:ascii="Arial" w:hAnsi="Arial" w:cs="Arial"/>
          <w:sz w:val="24"/>
          <w:szCs w:val="24"/>
          <w:lang w:val="en-GB"/>
        </w:rPr>
        <w:t xml:space="preserve"> strongyle</w:t>
      </w:r>
      <w:r w:rsidR="003E01B7" w:rsidRPr="00883FC0">
        <w:rPr>
          <w:rFonts w:ascii="Arial" w:hAnsi="Arial" w:cs="Arial"/>
          <w:sz w:val="24"/>
          <w:szCs w:val="24"/>
          <w:lang w:val="en-GB"/>
        </w:rPr>
        <w:t xml:space="preserve"> infection in ibex should be investigate</w:t>
      </w:r>
      <w:r w:rsidRPr="00883FC0">
        <w:rPr>
          <w:rFonts w:ascii="Arial" w:hAnsi="Arial" w:cs="Arial"/>
          <w:sz w:val="24"/>
          <w:szCs w:val="24"/>
          <w:lang w:val="en-GB"/>
        </w:rPr>
        <w:t>d</w:t>
      </w:r>
      <w:r w:rsidR="003E01B7" w:rsidRPr="00883FC0">
        <w:rPr>
          <w:rFonts w:ascii="Arial" w:hAnsi="Arial" w:cs="Arial"/>
          <w:sz w:val="24"/>
          <w:szCs w:val="24"/>
          <w:lang w:val="en-GB"/>
        </w:rPr>
        <w:t xml:space="preserve">. Indeed, ibex </w:t>
      </w:r>
      <w:r w:rsidR="006C095A" w:rsidRPr="00883FC0">
        <w:rPr>
          <w:rFonts w:ascii="Arial" w:hAnsi="Arial" w:cs="Arial"/>
          <w:sz w:val="24"/>
          <w:szCs w:val="24"/>
          <w:lang w:val="en-GB"/>
        </w:rPr>
        <w:t>are</w:t>
      </w:r>
      <w:r w:rsidR="003E01B7" w:rsidRPr="00883FC0">
        <w:rPr>
          <w:rFonts w:ascii="Arial" w:hAnsi="Arial" w:cs="Arial"/>
          <w:sz w:val="24"/>
          <w:szCs w:val="24"/>
          <w:lang w:val="en-GB"/>
        </w:rPr>
        <w:t xml:space="preserve"> characterized by low genetic diversity due to the</w:t>
      </w:r>
      <w:r w:rsidRPr="00883FC0">
        <w:rPr>
          <w:rFonts w:ascii="Arial" w:hAnsi="Arial" w:cs="Arial"/>
          <w:sz w:val="24"/>
          <w:szCs w:val="24"/>
          <w:lang w:val="en-GB"/>
        </w:rPr>
        <w:t xml:space="preserve"> </w:t>
      </w:r>
      <w:r w:rsidR="000808C2" w:rsidRPr="000808C2">
        <w:rPr>
          <w:rFonts w:ascii="Arial" w:hAnsi="Arial" w:cs="Arial"/>
          <w:sz w:val="24"/>
          <w:szCs w:val="24"/>
          <w:highlight w:val="yellow"/>
          <w:lang w:val="en-GB"/>
        </w:rPr>
        <w:t>severe</w:t>
      </w:r>
      <w:r w:rsidR="003E01B7" w:rsidRPr="00883FC0">
        <w:rPr>
          <w:rFonts w:ascii="Arial" w:hAnsi="Arial" w:cs="Arial"/>
          <w:sz w:val="24"/>
          <w:szCs w:val="24"/>
          <w:lang w:val="en-GB"/>
        </w:rPr>
        <w:t xml:space="preserve"> demographic decline of this species </w:t>
      </w:r>
      <w:r w:rsidRPr="00883FC0">
        <w:rPr>
          <w:rFonts w:ascii="Arial" w:hAnsi="Arial" w:cs="Arial"/>
          <w:sz w:val="24"/>
          <w:szCs w:val="24"/>
          <w:lang w:val="en-GB"/>
        </w:rPr>
        <w:t xml:space="preserve">followed by </w:t>
      </w:r>
      <w:r w:rsidR="003E01B7" w:rsidRPr="00883FC0">
        <w:rPr>
          <w:rFonts w:ascii="Arial" w:hAnsi="Arial" w:cs="Arial"/>
          <w:sz w:val="24"/>
          <w:szCs w:val="24"/>
          <w:lang w:val="en-GB"/>
        </w:rPr>
        <w:t>multiple re-introduction</w:t>
      </w:r>
      <w:r w:rsidR="006C095A" w:rsidRPr="00883FC0">
        <w:rPr>
          <w:rFonts w:ascii="Arial" w:hAnsi="Arial" w:cs="Arial"/>
          <w:sz w:val="24"/>
          <w:szCs w:val="24"/>
          <w:lang w:val="en-GB"/>
        </w:rPr>
        <w:t>s</w:t>
      </w:r>
      <w:r w:rsidR="003E01B7" w:rsidRPr="00883FC0">
        <w:rPr>
          <w:rFonts w:ascii="Arial" w:hAnsi="Arial" w:cs="Arial"/>
          <w:sz w:val="24"/>
          <w:szCs w:val="24"/>
          <w:lang w:val="en-GB"/>
        </w:rPr>
        <w:t xml:space="preserve"> </w:t>
      </w:r>
      <w:r w:rsidR="003E01B7"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{"citationID":"aukqec3242","properties":{"formattedCitation":"(Grossen et al., 2018)","plainCitation":"(Grossen et al., 2018)","noteIndex":0},"citationItems":[{"id":3626,"uris":["http://zotero.org/users/local/NciqjDvn/items/55ZY6RQ9"],"itemData":{"id":3626,"type":"article-journal","abstract":"Restoration of lost species ranges to their native distribution is key for the survival of endangered species. However, reintroductions often fail and long-term genetic consequences are poorly understood. Alpine ibex (Capra ibex) are wild goats that recovered from &lt;100 individuals to 50,000 within a century by population reintroductions. We analyzed the population genomic consequences of the Alpine ibex reintroduction strategy. We genotyped 101,822 genomewide single nucleotide polymorphism loci in 173 Alpine ibex, the closely related Iberian ibex (Capra pyrenaica) and domestic goat (Capra hircus). The source population of all Alpine ibex maintained genetic diversity comparable to Iberian ibex, which experienced less severe bottlenecks. All reintroduced Alpine ibex populations had individually and combined lower levels of genetic diversity than the source population. The reintroduction strategy consisted of primary reintroductions from captive breeding and secondary reintroductions from established populations. This stepwise reintroduction strategy left a strong genomic footprint of population differentiation, which increased with subsequent rounds of reintroductions. Furthermore, analyses of genomewide runs of homozygosity showed recent inbreeding primarily in individuals of reintroduced populations. We showed that despite the rapid census recovery, Alpine ibex carry a persistent genomic signature of their reintroduction history. We discuss how genomic monitoring can serve as an early indicator of inbreeding.","container-title":"Evolutionary Applications","DOI":"10.1111/eva.12490","ISSN":"1752-4571","issue":"2","language":"en","note":"_eprint: https://onlinelibrary.wiley.com/doi/pdf/10.1111/eva.12490","page":"123-139","source":"Wiley Online Library","title":"Population genomics analyses of European ibex species show lower diversity and higher inbreeding in reintroduced populations","volume":"11","author":[{"family":"Grossen","given":"Christine"},{"family":"Biebach","given":"Iris"},{"family":"Angelone-Alasaad","given":"Samer"},{"family":"Keller","given":"Lukas F."},{"family":"Croll","given":"Daniel"}],"issued":{"date-parts":[["2018"]]}}}],"schema":"https://github.com/citation-style-language/schema/raw/master/csl-citation.json"} </w:instrText>
      </w:r>
      <w:r w:rsidR="003E01B7" w:rsidRPr="00883FC0">
        <w:rPr>
          <w:rFonts w:ascii="Arial" w:hAnsi="Arial" w:cs="Arial"/>
          <w:sz w:val="24"/>
          <w:szCs w:val="24"/>
          <w:lang w:val="en-GB"/>
        </w:rPr>
        <w:fldChar w:fldCharType="separate"/>
      </w:r>
      <w:r w:rsidR="00991FDE" w:rsidRPr="00883FC0">
        <w:rPr>
          <w:rFonts w:ascii="Arial" w:hAnsi="Arial" w:cs="Arial"/>
          <w:sz w:val="24"/>
          <w:lang w:val="en-US"/>
        </w:rPr>
        <w:t>(Grossen et al., 2018)</w:t>
      </w:r>
      <w:r w:rsidR="003E01B7" w:rsidRPr="00883FC0">
        <w:rPr>
          <w:rFonts w:ascii="Arial" w:hAnsi="Arial" w:cs="Arial"/>
          <w:sz w:val="24"/>
          <w:szCs w:val="24"/>
          <w:lang w:val="en-GB"/>
        </w:rPr>
        <w:fldChar w:fldCharType="end"/>
      </w:r>
      <w:r w:rsidR="009B2657" w:rsidRPr="00883FC0">
        <w:rPr>
          <w:rFonts w:ascii="Arial" w:hAnsi="Arial" w:cs="Arial"/>
          <w:sz w:val="24"/>
          <w:szCs w:val="24"/>
          <w:lang w:val="en-GB"/>
        </w:rPr>
        <w:t>. The</w:t>
      </w:r>
      <w:r w:rsidR="003E01B7" w:rsidRPr="00883FC0">
        <w:rPr>
          <w:rFonts w:ascii="Arial" w:hAnsi="Arial" w:cs="Arial"/>
          <w:sz w:val="24"/>
          <w:szCs w:val="24"/>
          <w:lang w:val="en-GB"/>
        </w:rPr>
        <w:t xml:space="preserve"> high genetic structure of immunity-related loci among </w:t>
      </w:r>
      <w:r w:rsidR="009B2657" w:rsidRPr="00883FC0">
        <w:rPr>
          <w:rFonts w:ascii="Arial" w:hAnsi="Arial" w:cs="Arial"/>
          <w:sz w:val="24"/>
          <w:szCs w:val="24"/>
          <w:lang w:val="en-GB"/>
        </w:rPr>
        <w:t xml:space="preserve">ibex </w:t>
      </w:r>
      <w:r w:rsidR="003E01B7" w:rsidRPr="00883FC0">
        <w:rPr>
          <w:rFonts w:ascii="Arial" w:hAnsi="Arial" w:cs="Arial"/>
          <w:sz w:val="24"/>
          <w:szCs w:val="24"/>
          <w:lang w:val="en-GB"/>
        </w:rPr>
        <w:t xml:space="preserve">populations </w:t>
      </w:r>
      <w:r w:rsidR="003E01B7"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{"citationID":"a120unlg8c","properties":{"formattedCitation":"(Kessler et al., 2022)","plainCitation":"(Kessler et al., 2022)","noteIndex":0},"citationItems":[{"id":4581,"uris":["http://zotero.org/users/local/NciqjDvn/items/MGGS4ZLY"],"itemData":{"id":4581,"type":"article-journal","abstract":"Polymorphism for immune functions can explain significant variation in health and reproductive success within species. Drastic loss in genetic diversity at such loci constitutes an extinction risk and should be monitored in species of conservation concern. However, effective implementations of genome-wide immune polymorphism sets into high-throughput genotyping assays are scarce. Here, we report the design and validation of a microfluidics-based amplicon sequencing assay to comprehensively capture genetic variation in Alpine ibex (Capra ibex). This species represents one of the most successful large mammal restorations recovering from a severely depressed census size and a massive loss in diversity at the major histocompatibility complex (MHC). We analysed 65 whole-genome sequencing sets of the Alpine ibex and related species to select the most representative markers and to prevent primer binding failures. In total, we designed 1,000 amplicons densely covering the MHC, further immunity-related genes as well as randomly selected genome-wide markers for the assessment of neutral population structure. Our analysis of 158 individuals shows that the genome-wide markers perform equally well at resolving population structure as RAD-sequencing or low-coverage genome sequencing data sets. Immunity-related loci show unexpectedly high degrees of genetic differentiation within the species. Such information can now be used to define highly targeted individual translocations. Our design strategy can be realistically implemented into genetic surveys of a large range of species. In conclusion, leveraging whole-genome sequencing data sets to design targeted amplicon assays allows the simultaneous monitoring of multiple genetic risk factors and can be translated into species conservation recommendations.","container-title":"Molecular Ecology Resources","DOI":"10.1111/1755-0998.13452","ISSN":"1755-0998","issue":"1","language":"en","note":"_eprint: https://onlinelibrary.wiley.com/doi/pdf/10.1111/1755-0998.13452","page":"66-85","source":"Wiley Online Library","title":"A robust sequencing assay of a thousand amplicons for the high-throughput population monitoring of Alpine ibex immunogenetics","volume":"22","author":[{"family":"Kessler","given":"Camille"},{"family":"Brambilla","given":"Alice"},{"family":"Waldvogel","given":"Dominique"},{"family":"Camenisch","given":"Glauco"},{"family":"Biebach","given":"Iris"},{"family":"Leigh","given":"Deborah M."},{"family":"Grossen","given":"Christine"},{"family":"Croll","given":"Daniel"}],"issued":{"date-parts":[["2022"]]}}}],"schema":"https://github.com/citation-style-language/schema/raw/master/csl-citation.json"} </w:instrText>
      </w:r>
      <w:r w:rsidR="003E01B7" w:rsidRPr="00883FC0">
        <w:rPr>
          <w:rFonts w:ascii="Arial" w:hAnsi="Arial" w:cs="Arial"/>
          <w:sz w:val="24"/>
          <w:szCs w:val="24"/>
          <w:lang w:val="en-GB"/>
        </w:rPr>
        <w:fldChar w:fldCharType="separate"/>
      </w:r>
      <w:r w:rsidR="00991FDE" w:rsidRPr="00883FC0">
        <w:rPr>
          <w:rFonts w:ascii="Arial" w:hAnsi="Arial" w:cs="Arial"/>
          <w:sz w:val="24"/>
          <w:lang w:val="en-US"/>
        </w:rPr>
        <w:t>(Kessler et al., 2022)</w:t>
      </w:r>
      <w:r w:rsidR="003E01B7" w:rsidRPr="00883FC0">
        <w:rPr>
          <w:rFonts w:ascii="Arial" w:hAnsi="Arial" w:cs="Arial"/>
          <w:sz w:val="24"/>
          <w:szCs w:val="24"/>
          <w:lang w:val="en-GB"/>
        </w:rPr>
        <w:fldChar w:fldCharType="end"/>
      </w:r>
      <w:r w:rsidR="009B2657" w:rsidRPr="00883FC0">
        <w:rPr>
          <w:rFonts w:ascii="Arial" w:hAnsi="Arial" w:cs="Arial"/>
          <w:sz w:val="24"/>
          <w:szCs w:val="24"/>
          <w:lang w:val="en-GB"/>
        </w:rPr>
        <w:t xml:space="preserve"> raise</w:t>
      </w:r>
      <w:r w:rsidR="005E7CD6" w:rsidRPr="00883FC0">
        <w:rPr>
          <w:rFonts w:ascii="Arial" w:hAnsi="Arial" w:cs="Arial"/>
          <w:sz w:val="24"/>
          <w:szCs w:val="24"/>
          <w:lang w:val="en-GB"/>
        </w:rPr>
        <w:t>s</w:t>
      </w:r>
      <w:r w:rsidR="009B2657" w:rsidRPr="00883FC0">
        <w:rPr>
          <w:rFonts w:ascii="Arial" w:hAnsi="Arial" w:cs="Arial"/>
          <w:sz w:val="24"/>
          <w:szCs w:val="24"/>
          <w:lang w:val="en-GB"/>
        </w:rPr>
        <w:t xml:space="preserve"> additional concerns,</w:t>
      </w:r>
      <w:r w:rsidR="003E01B7" w:rsidRPr="00883FC0">
        <w:rPr>
          <w:rFonts w:ascii="Arial" w:hAnsi="Arial" w:cs="Arial"/>
          <w:sz w:val="24"/>
          <w:szCs w:val="24"/>
          <w:lang w:val="en-GB"/>
        </w:rPr>
        <w:t xml:space="preserve"> as both neutral and adaptive genetic diversity are known to have an influence</w:t>
      </w:r>
      <w:r w:rsidR="00404F03" w:rsidRPr="00883FC0">
        <w:rPr>
          <w:rFonts w:ascii="Arial" w:hAnsi="Arial" w:cs="Arial"/>
          <w:sz w:val="24"/>
          <w:szCs w:val="24"/>
          <w:lang w:val="en-GB"/>
        </w:rPr>
        <w:t xml:space="preserve"> on</w:t>
      </w:r>
      <w:r w:rsidR="003E01B7" w:rsidRPr="00883FC0">
        <w:rPr>
          <w:rFonts w:ascii="Arial" w:hAnsi="Arial" w:cs="Arial"/>
          <w:sz w:val="24"/>
          <w:szCs w:val="24"/>
          <w:lang w:val="en-GB"/>
        </w:rPr>
        <w:t xml:space="preserve"> parasite resistance</w:t>
      </w:r>
      <w:r w:rsidR="005E7CD6" w:rsidRPr="00883FC0">
        <w:rPr>
          <w:rFonts w:ascii="Arial" w:hAnsi="Arial" w:cs="Arial"/>
          <w:sz w:val="24"/>
          <w:szCs w:val="24"/>
          <w:lang w:val="en-GB"/>
        </w:rPr>
        <w:t xml:space="preserve"> and tolerance</w:t>
      </w:r>
      <w:r w:rsidR="003E01B7" w:rsidRPr="00883FC0">
        <w:rPr>
          <w:rFonts w:ascii="Arial" w:hAnsi="Arial" w:cs="Arial"/>
          <w:sz w:val="24"/>
          <w:szCs w:val="24"/>
          <w:lang w:val="en-GB"/>
        </w:rPr>
        <w:t xml:space="preserve"> in ungulates </w:t>
      </w:r>
      <w:r w:rsidR="003E01B7" w:rsidRPr="00883FC0">
        <w:rPr>
          <w:rFonts w:ascii="Arial" w:hAnsi="Arial" w:cs="Arial"/>
          <w:sz w:val="24"/>
          <w:szCs w:val="24"/>
          <w:lang w:val="en-GB"/>
        </w:rPr>
        <w:fldChar w:fldCharType="begin"/>
      </w:r>
      <w:r w:rsidR="00991FDE" w:rsidRPr="00883FC0">
        <w:rPr>
          <w:rFonts w:ascii="Arial" w:hAnsi="Arial" w:cs="Arial"/>
          <w:sz w:val="24"/>
          <w:szCs w:val="24"/>
          <w:lang w:val="en-GB"/>
        </w:rPr>
        <w:instrText xml:space="preserve"> ADDIN ZOTERO_ITEM CSL_CITATION {"citationID":"a25crpro2cr","properties":{"formattedCitation":"(Portanier et al., 2019)","plainCitation":"(Portanier et al., 2019)","noteIndex":0},"citationItems":[{"id":4731,"uris":["http://zotero.org/users/local/NciqjDvn/items/AKAWWDM8"],"itemData":{"id":4731,"type":"article-journal","abstract":"Parasite infections can have substantial impacts on population dynamics and are accordingly a key challenge for wild population management. Here we studied genetic mechanisms driving parasite resistance in a large herbivore through a comprehensive approach combining measurements of neutral (16 microsatellites) and adaptive (MHC DRB1 exon 2) genetic diversity and two types of gastrointestinal parasites (nematodes and coccidia).","container-title":"BMC Ecology","DOI":"10.1186/s12898-019-0228-x","ISSN":"1472-6785","issue":"1","journalAbbreviation":"BMC Ecol","language":"en","page":"12","source":"Springer Link","title":"Both candidate gene and neutral genetic diversity correlate with parasite resistance in female Mediterranean mouflon","volume":"19","author":[{"family":"Portanier","given":"Elodie"},{"family":"Garel","given":"Mathieu"},{"family":"Devillard","given":"Sébastien"},{"family":"Maillard","given":"Daniel"},{"family":"Poissant","given":"Jocelyn"},{"family":"Galan","given":"Maxime"},{"family":"Benabed","given":"Slimania"},{"family":"Poirel","given":"Marie-Thérèse"},{"family":"Duhayer","given":"Jeanne"},{"family":"Itty","given":"Christian"},{"family":"Bourgoin","given":"Gilles"}],"issued":{"date-parts":[["2019",3,5]]}}}],"schema":"https://github.com/citation-style-language/schema/raw/master/csl-citation.json"} </w:instrText>
      </w:r>
      <w:r w:rsidR="003E01B7" w:rsidRPr="00883FC0">
        <w:rPr>
          <w:rFonts w:ascii="Arial" w:hAnsi="Arial" w:cs="Arial"/>
          <w:sz w:val="24"/>
          <w:szCs w:val="24"/>
          <w:lang w:val="en-GB"/>
        </w:rPr>
        <w:fldChar w:fldCharType="separate"/>
      </w:r>
      <w:r w:rsidR="00991FDE" w:rsidRPr="00883FC0">
        <w:rPr>
          <w:rFonts w:ascii="Arial" w:hAnsi="Arial" w:cs="Arial"/>
          <w:sz w:val="24"/>
          <w:lang w:val="en-US"/>
        </w:rPr>
        <w:t>(Portanier et al., 2019)</w:t>
      </w:r>
      <w:r w:rsidR="003E01B7" w:rsidRPr="00883FC0">
        <w:rPr>
          <w:rFonts w:ascii="Arial" w:hAnsi="Arial" w:cs="Arial"/>
          <w:sz w:val="24"/>
          <w:szCs w:val="24"/>
          <w:lang w:val="en-GB"/>
        </w:rPr>
        <w:fldChar w:fldCharType="end"/>
      </w:r>
      <w:r w:rsidR="003E01B7" w:rsidRPr="00883FC0">
        <w:rPr>
          <w:rFonts w:ascii="Arial" w:hAnsi="Arial" w:cs="Arial"/>
          <w:sz w:val="24"/>
          <w:szCs w:val="24"/>
          <w:lang w:val="en-GB"/>
        </w:rPr>
        <w:t>.</w:t>
      </w:r>
    </w:p>
    <w:p w14:paraId="66C81FE7" w14:textId="7CC87B3D" w:rsidR="006463F4" w:rsidRPr="00883FC0" w:rsidRDefault="006463F4" w:rsidP="00A0712B">
      <w:pPr>
        <w:spacing w:after="0" w:line="360" w:lineRule="auto"/>
        <w:jc w:val="both"/>
        <w:rPr>
          <w:rFonts w:ascii="Arial" w:hAnsi="Arial" w:cs="Arial"/>
          <w:sz w:val="24"/>
          <w:szCs w:val="24"/>
          <w:lang w:val="en-US"/>
        </w:rPr>
      </w:pPr>
    </w:p>
    <w:p w14:paraId="7CCC677E" w14:textId="0223B5D0" w:rsidR="00F10DE5" w:rsidRPr="00883FC0" w:rsidRDefault="00F10DE5" w:rsidP="00A0712B">
      <w:pPr>
        <w:pStyle w:val="Titre2"/>
        <w:spacing w:before="0" w:line="360" w:lineRule="auto"/>
        <w:jc w:val="center"/>
        <w:rPr>
          <w:rFonts w:ascii="Arial" w:hAnsi="Arial" w:cs="Arial"/>
          <w:b/>
          <w:color w:val="000000" w:themeColor="text1"/>
          <w:sz w:val="28"/>
          <w:lang w:val="en-US"/>
        </w:rPr>
      </w:pPr>
      <w:r w:rsidRPr="00883FC0">
        <w:rPr>
          <w:rFonts w:ascii="Arial" w:hAnsi="Arial" w:cs="Arial"/>
          <w:b/>
          <w:color w:val="000000" w:themeColor="text1"/>
          <w:sz w:val="28"/>
          <w:lang w:val="en-US"/>
        </w:rPr>
        <w:t>App</w:t>
      </w:r>
      <w:r w:rsidR="00991FDE" w:rsidRPr="00883FC0">
        <w:rPr>
          <w:rFonts w:ascii="Arial" w:hAnsi="Arial" w:cs="Arial"/>
          <w:b/>
          <w:color w:val="000000" w:themeColor="text1"/>
          <w:sz w:val="28"/>
          <w:lang w:val="en-US"/>
        </w:rPr>
        <w:t>e</w:t>
      </w:r>
      <w:r w:rsidRPr="00883FC0">
        <w:rPr>
          <w:rFonts w:ascii="Arial" w:hAnsi="Arial" w:cs="Arial"/>
          <w:b/>
          <w:color w:val="000000" w:themeColor="text1"/>
          <w:sz w:val="28"/>
          <w:lang w:val="en-US"/>
        </w:rPr>
        <w:t>ndices</w:t>
      </w:r>
    </w:p>
    <w:p w14:paraId="6A135FE2" w14:textId="77777777" w:rsidR="00F362D4" w:rsidRPr="00883FC0" w:rsidRDefault="00F362D4" w:rsidP="00A0712B">
      <w:pPr>
        <w:spacing w:after="0" w:line="360" w:lineRule="auto"/>
        <w:jc w:val="both"/>
        <w:rPr>
          <w:rFonts w:ascii="Arial" w:hAnsi="Arial" w:cs="Arial"/>
          <w:sz w:val="24"/>
          <w:szCs w:val="24"/>
          <w:lang w:val="en-US"/>
        </w:rPr>
      </w:pPr>
    </w:p>
    <w:p w14:paraId="3C954220" w14:textId="6A1012E2" w:rsidR="00F362D4" w:rsidRPr="00883FC0" w:rsidRDefault="00955DFC" w:rsidP="00A0712B">
      <w:pPr>
        <w:spacing w:after="0" w:line="360" w:lineRule="auto"/>
        <w:jc w:val="both"/>
        <w:rPr>
          <w:rFonts w:ascii="Arial" w:hAnsi="Arial" w:cs="Arial"/>
          <w:color w:val="000000" w:themeColor="text1"/>
          <w:sz w:val="28"/>
          <w:lang w:val="en-US"/>
        </w:rPr>
      </w:pPr>
      <w:r w:rsidRPr="00883FC0">
        <w:rPr>
          <w:rFonts w:ascii="Arial" w:hAnsi="Arial" w:cs="Arial"/>
          <w:sz w:val="24"/>
          <w:szCs w:val="24"/>
          <w:lang w:val="en-US"/>
        </w:rPr>
        <w:t xml:space="preserve">Supplementary data to this article can be found online </w:t>
      </w:r>
      <w:bookmarkStart w:id="53" w:name="_Toc129193252"/>
      <w:r w:rsidR="00894D4F" w:rsidRPr="00883FC0">
        <w:rPr>
          <w:rFonts w:ascii="Arial" w:hAnsi="Arial" w:cs="Arial"/>
          <w:sz w:val="24"/>
          <w:szCs w:val="24"/>
          <w:lang w:val="en-GB"/>
        </w:rPr>
        <w:t xml:space="preserve">in </w:t>
      </w:r>
      <w:proofErr w:type="spellStart"/>
      <w:r w:rsidR="00894D4F" w:rsidRPr="00883FC0">
        <w:rPr>
          <w:rFonts w:ascii="Arial" w:hAnsi="Arial" w:cs="Arial"/>
          <w:sz w:val="24"/>
          <w:szCs w:val="24"/>
          <w:lang w:val="en-GB"/>
        </w:rPr>
        <w:t>MendeleyData</w:t>
      </w:r>
      <w:proofErr w:type="spellEnd"/>
      <w:r w:rsidR="00894D4F" w:rsidRPr="00883FC0">
        <w:rPr>
          <w:rFonts w:ascii="Arial" w:hAnsi="Arial" w:cs="Arial"/>
          <w:sz w:val="24"/>
          <w:szCs w:val="24"/>
          <w:lang w:val="en-GB"/>
        </w:rPr>
        <w:t xml:space="preserve"> (DOI: 10.17632/cm97cg87d6.1).</w:t>
      </w:r>
    </w:p>
    <w:p w14:paraId="267CDCA0" w14:textId="0AD5867E" w:rsidR="006463F4" w:rsidRPr="00883FC0" w:rsidRDefault="006463F4" w:rsidP="00A0712B">
      <w:pPr>
        <w:pStyle w:val="Titre2"/>
        <w:spacing w:before="0" w:line="360" w:lineRule="auto"/>
        <w:jc w:val="center"/>
        <w:rPr>
          <w:rFonts w:ascii="Arial" w:hAnsi="Arial" w:cs="Arial"/>
          <w:b/>
          <w:color w:val="000000" w:themeColor="text1"/>
          <w:sz w:val="28"/>
          <w:lang w:val="en-US"/>
        </w:rPr>
      </w:pPr>
      <w:r w:rsidRPr="00883FC0">
        <w:rPr>
          <w:rFonts w:ascii="Arial" w:hAnsi="Arial" w:cs="Arial"/>
          <w:b/>
          <w:color w:val="000000" w:themeColor="text1"/>
          <w:sz w:val="28"/>
          <w:lang w:val="en-US"/>
        </w:rPr>
        <w:lastRenderedPageBreak/>
        <w:t>Acknowledgements</w:t>
      </w:r>
      <w:bookmarkEnd w:id="53"/>
    </w:p>
    <w:p w14:paraId="1F28BBB2" w14:textId="77777777" w:rsidR="006463F4" w:rsidRPr="00883FC0" w:rsidRDefault="006463F4" w:rsidP="00A0712B">
      <w:pPr>
        <w:spacing w:after="0" w:line="360" w:lineRule="auto"/>
        <w:jc w:val="both"/>
        <w:rPr>
          <w:rFonts w:ascii="Arial" w:hAnsi="Arial" w:cs="Arial"/>
          <w:sz w:val="24"/>
          <w:szCs w:val="24"/>
          <w:lang w:val="en-US"/>
        </w:rPr>
      </w:pPr>
    </w:p>
    <w:p w14:paraId="11949EE4" w14:textId="7BE735C4" w:rsidR="00991FDE" w:rsidRPr="00883FC0" w:rsidRDefault="003E01B7" w:rsidP="00A0712B">
      <w:pPr>
        <w:spacing w:after="0" w:line="360" w:lineRule="auto"/>
        <w:jc w:val="both"/>
        <w:rPr>
          <w:rFonts w:ascii="Arial" w:hAnsi="Arial" w:cs="Arial"/>
          <w:sz w:val="24"/>
          <w:szCs w:val="24"/>
          <w:lang w:val="en-GB"/>
        </w:rPr>
      </w:pPr>
      <w:r w:rsidRPr="00883FC0">
        <w:rPr>
          <w:rFonts w:ascii="Arial" w:hAnsi="Arial" w:cs="Arial"/>
          <w:sz w:val="24"/>
          <w:szCs w:val="24"/>
          <w:lang w:val="en-GB"/>
        </w:rPr>
        <w:tab/>
        <w:t xml:space="preserve">The authors warmly thank all the professionals from the Office Français de la Biodiversité and all the trainees for data collection, J. S. </w:t>
      </w:r>
      <w:proofErr w:type="spellStart"/>
      <w:r w:rsidRPr="00883FC0">
        <w:rPr>
          <w:rFonts w:ascii="Arial" w:hAnsi="Arial" w:cs="Arial"/>
          <w:sz w:val="24"/>
          <w:szCs w:val="24"/>
          <w:lang w:val="en-GB"/>
        </w:rPr>
        <w:t>Gilleard</w:t>
      </w:r>
      <w:proofErr w:type="spellEnd"/>
      <w:r w:rsidR="00556611" w:rsidRPr="00883FC0">
        <w:rPr>
          <w:rFonts w:ascii="Arial" w:hAnsi="Arial" w:cs="Arial"/>
          <w:sz w:val="24"/>
          <w:szCs w:val="24"/>
          <w:lang w:val="en-GB"/>
        </w:rPr>
        <w:t xml:space="preserve"> and</w:t>
      </w:r>
      <w:r w:rsidRPr="00883FC0">
        <w:rPr>
          <w:rFonts w:ascii="Arial" w:hAnsi="Arial" w:cs="Arial"/>
          <w:sz w:val="24"/>
          <w:szCs w:val="24"/>
          <w:lang w:val="en-GB"/>
        </w:rPr>
        <w:t xml:space="preserve"> E. Redman</w:t>
      </w:r>
      <w:r w:rsidR="005E7FD9" w:rsidRPr="00883FC0">
        <w:rPr>
          <w:rFonts w:ascii="Arial" w:hAnsi="Arial" w:cs="Arial"/>
          <w:sz w:val="24"/>
          <w:szCs w:val="24"/>
          <w:lang w:val="en-GB"/>
        </w:rPr>
        <w:t xml:space="preserve"> from</w:t>
      </w:r>
      <w:r w:rsidR="00577DBD" w:rsidRPr="00883FC0">
        <w:rPr>
          <w:rFonts w:ascii="Arial" w:hAnsi="Arial" w:cs="Arial"/>
          <w:sz w:val="24"/>
          <w:szCs w:val="24"/>
          <w:lang w:val="en-GB"/>
        </w:rPr>
        <w:t xml:space="preserve"> the University of Calgary</w:t>
      </w:r>
      <w:r w:rsidR="00556611" w:rsidRPr="00883FC0">
        <w:rPr>
          <w:rFonts w:ascii="Arial" w:hAnsi="Arial" w:cs="Arial"/>
          <w:sz w:val="24"/>
          <w:szCs w:val="24"/>
          <w:lang w:val="en-GB"/>
        </w:rPr>
        <w:t>,</w:t>
      </w:r>
      <w:r w:rsidR="00A7440A" w:rsidRPr="00883FC0">
        <w:rPr>
          <w:rFonts w:ascii="Arial" w:hAnsi="Arial" w:cs="Arial"/>
          <w:sz w:val="24"/>
          <w:szCs w:val="24"/>
          <w:lang w:val="en-GB"/>
        </w:rPr>
        <w:t xml:space="preserve"> C. </w:t>
      </w:r>
      <w:proofErr w:type="spellStart"/>
      <w:r w:rsidR="00A7440A" w:rsidRPr="00883FC0">
        <w:rPr>
          <w:rFonts w:ascii="Arial" w:hAnsi="Arial" w:cs="Arial"/>
          <w:sz w:val="24"/>
          <w:szCs w:val="24"/>
          <w:lang w:val="en-GB"/>
        </w:rPr>
        <w:t>Lionnet</w:t>
      </w:r>
      <w:proofErr w:type="spellEnd"/>
      <w:r w:rsidRPr="00883FC0">
        <w:rPr>
          <w:rFonts w:ascii="Arial" w:hAnsi="Arial" w:cs="Arial"/>
          <w:sz w:val="24"/>
          <w:szCs w:val="24"/>
          <w:lang w:val="en-GB"/>
        </w:rPr>
        <w:t xml:space="preserve"> </w:t>
      </w:r>
      <w:r w:rsidR="00577DBD" w:rsidRPr="00883FC0">
        <w:rPr>
          <w:rFonts w:ascii="Arial" w:hAnsi="Arial" w:cs="Arial"/>
          <w:sz w:val="24"/>
          <w:szCs w:val="24"/>
          <w:lang w:val="en-GB"/>
        </w:rPr>
        <w:t xml:space="preserve">from the </w:t>
      </w:r>
      <w:proofErr w:type="spellStart"/>
      <w:r w:rsidR="00577DBD" w:rsidRPr="00883FC0">
        <w:rPr>
          <w:rFonts w:ascii="Arial" w:hAnsi="Arial" w:cs="Arial"/>
          <w:sz w:val="24"/>
          <w:szCs w:val="24"/>
          <w:lang w:val="en-GB"/>
        </w:rPr>
        <w:t>Laboratoire</w:t>
      </w:r>
      <w:proofErr w:type="spellEnd"/>
      <w:r w:rsidR="00577DBD" w:rsidRPr="00883FC0">
        <w:rPr>
          <w:rFonts w:ascii="Arial" w:hAnsi="Arial" w:cs="Arial"/>
          <w:sz w:val="24"/>
          <w:szCs w:val="24"/>
          <w:lang w:val="en-GB"/>
        </w:rPr>
        <w:t xml:space="preserve"> </w:t>
      </w:r>
      <w:proofErr w:type="spellStart"/>
      <w:r w:rsidR="00577DBD" w:rsidRPr="00883FC0">
        <w:rPr>
          <w:rFonts w:ascii="Arial" w:hAnsi="Arial" w:cs="Arial"/>
          <w:sz w:val="24"/>
          <w:szCs w:val="24"/>
          <w:lang w:val="en-GB"/>
        </w:rPr>
        <w:t>d’Ecologie</w:t>
      </w:r>
      <w:proofErr w:type="spellEnd"/>
      <w:r w:rsidR="00577DBD" w:rsidRPr="00883FC0">
        <w:rPr>
          <w:rFonts w:ascii="Arial" w:hAnsi="Arial" w:cs="Arial"/>
          <w:sz w:val="24"/>
          <w:szCs w:val="24"/>
          <w:lang w:val="en-GB"/>
        </w:rPr>
        <w:t xml:space="preserve"> Alpine (LECA) </w:t>
      </w:r>
      <w:r w:rsidRPr="00883FC0">
        <w:rPr>
          <w:rFonts w:ascii="Arial" w:hAnsi="Arial" w:cs="Arial"/>
          <w:sz w:val="24"/>
          <w:szCs w:val="24"/>
          <w:lang w:val="en-GB"/>
        </w:rPr>
        <w:t xml:space="preserve">and other members of the lab to help us developing the deep sequencing analyses for nematodes. The research benefited from the support of </w:t>
      </w:r>
      <w:proofErr w:type="spellStart"/>
      <w:r w:rsidRPr="00883FC0">
        <w:rPr>
          <w:rFonts w:ascii="Arial" w:hAnsi="Arial" w:cs="Arial"/>
          <w:sz w:val="24"/>
          <w:szCs w:val="24"/>
          <w:lang w:val="en-GB"/>
        </w:rPr>
        <w:t>AnaBM</w:t>
      </w:r>
      <w:proofErr w:type="spellEnd"/>
      <w:r w:rsidRPr="00883FC0">
        <w:rPr>
          <w:rFonts w:ascii="Arial" w:hAnsi="Arial" w:cs="Arial"/>
          <w:sz w:val="24"/>
          <w:szCs w:val="24"/>
          <w:lang w:val="en-GB"/>
        </w:rPr>
        <w:t xml:space="preserve"> (USMB) and AEEM (UGA) laboratory facilities. </w:t>
      </w:r>
      <w:r w:rsidR="000808C2" w:rsidRPr="000808C2">
        <w:rPr>
          <w:rFonts w:ascii="Arial" w:hAnsi="Arial" w:cs="Arial"/>
          <w:sz w:val="24"/>
          <w:szCs w:val="24"/>
          <w:highlight w:val="yellow"/>
          <w:lang w:val="en-GB"/>
        </w:rPr>
        <w:t>We warmly thank Karen McCoy as well as two anonymous reviewers for their insightful comments on the manuscript.</w:t>
      </w:r>
    </w:p>
    <w:p w14:paraId="1168830F" w14:textId="77777777" w:rsidR="00F362D4" w:rsidRPr="00883FC0" w:rsidRDefault="00F362D4" w:rsidP="00A0712B">
      <w:pPr>
        <w:spacing w:after="0" w:line="360" w:lineRule="auto"/>
        <w:jc w:val="both"/>
        <w:rPr>
          <w:rFonts w:ascii="Arial" w:hAnsi="Arial" w:cs="Arial"/>
          <w:color w:val="000000" w:themeColor="text1"/>
          <w:sz w:val="28"/>
          <w:lang w:val="en-US"/>
        </w:rPr>
      </w:pPr>
    </w:p>
    <w:p w14:paraId="57A5BECD" w14:textId="55F41F7B" w:rsidR="00991FDE" w:rsidRPr="00883FC0" w:rsidRDefault="00991FDE" w:rsidP="00A0712B">
      <w:pPr>
        <w:spacing w:after="0" w:line="360" w:lineRule="auto"/>
        <w:jc w:val="center"/>
        <w:rPr>
          <w:rFonts w:ascii="Arial" w:hAnsi="Arial" w:cs="Arial"/>
          <w:b/>
          <w:color w:val="000000" w:themeColor="text1"/>
          <w:sz w:val="28"/>
          <w:lang w:val="en-US"/>
        </w:rPr>
      </w:pPr>
      <w:r w:rsidRPr="00883FC0">
        <w:rPr>
          <w:rFonts w:ascii="Arial" w:hAnsi="Arial" w:cs="Arial"/>
          <w:b/>
          <w:color w:val="000000" w:themeColor="text1"/>
          <w:sz w:val="28"/>
          <w:lang w:val="en-US"/>
        </w:rPr>
        <w:t>Funding</w:t>
      </w:r>
    </w:p>
    <w:p w14:paraId="4B62BF88" w14:textId="77777777" w:rsidR="00F362D4" w:rsidRPr="00883FC0" w:rsidRDefault="00F362D4" w:rsidP="00A0712B">
      <w:pPr>
        <w:spacing w:after="0" w:line="360" w:lineRule="auto"/>
        <w:jc w:val="both"/>
        <w:rPr>
          <w:rFonts w:ascii="Arial" w:hAnsi="Arial" w:cs="Arial"/>
          <w:sz w:val="24"/>
          <w:szCs w:val="24"/>
          <w:lang w:val="en-GB"/>
        </w:rPr>
      </w:pPr>
    </w:p>
    <w:p w14:paraId="23E3ACBC" w14:textId="4087D723" w:rsidR="003E01B7" w:rsidRPr="00883FC0" w:rsidRDefault="003E01B7" w:rsidP="00A0712B">
      <w:pPr>
        <w:spacing w:after="0" w:line="360" w:lineRule="auto"/>
        <w:jc w:val="both"/>
        <w:rPr>
          <w:rFonts w:ascii="Arial" w:hAnsi="Arial" w:cs="Arial"/>
          <w:sz w:val="24"/>
          <w:szCs w:val="24"/>
          <w:lang w:val="en-GB"/>
        </w:rPr>
      </w:pPr>
      <w:r w:rsidRPr="00883FC0">
        <w:rPr>
          <w:rFonts w:ascii="Arial" w:hAnsi="Arial" w:cs="Arial"/>
          <w:sz w:val="24"/>
          <w:szCs w:val="24"/>
          <w:lang w:val="en-GB"/>
        </w:rPr>
        <w:t xml:space="preserve">This project was founded by the Office Français de la Biodiversité, the </w:t>
      </w:r>
      <w:proofErr w:type="spellStart"/>
      <w:r w:rsidRPr="00883FC0">
        <w:rPr>
          <w:rFonts w:ascii="Arial" w:hAnsi="Arial" w:cs="Arial"/>
          <w:sz w:val="24"/>
          <w:szCs w:val="24"/>
          <w:lang w:val="en-GB"/>
        </w:rPr>
        <w:t>Laboratoire</w:t>
      </w:r>
      <w:proofErr w:type="spellEnd"/>
      <w:r w:rsidRPr="00883FC0">
        <w:rPr>
          <w:rFonts w:ascii="Arial" w:hAnsi="Arial" w:cs="Arial"/>
          <w:sz w:val="24"/>
          <w:szCs w:val="24"/>
          <w:lang w:val="en-GB"/>
        </w:rPr>
        <w:t xml:space="preserve"> </w:t>
      </w:r>
      <w:proofErr w:type="spellStart"/>
      <w:r w:rsidRPr="00883FC0">
        <w:rPr>
          <w:rFonts w:ascii="Arial" w:hAnsi="Arial" w:cs="Arial"/>
          <w:sz w:val="24"/>
          <w:szCs w:val="24"/>
          <w:lang w:val="en-GB"/>
        </w:rPr>
        <w:t>d’Ecologie</w:t>
      </w:r>
      <w:proofErr w:type="spellEnd"/>
      <w:r w:rsidRPr="00883FC0">
        <w:rPr>
          <w:rFonts w:ascii="Arial" w:hAnsi="Arial" w:cs="Arial"/>
          <w:sz w:val="24"/>
          <w:szCs w:val="24"/>
          <w:lang w:val="en-GB"/>
        </w:rPr>
        <w:t xml:space="preserve"> Alpine (LECA) and VetAgro Sup - Pôle d’Expertise Vétérinaire et Agronomique des Animaux Sauvages (EVAAS, France; http://evaas.vetagro</w:t>
      </w:r>
      <w:r w:rsidRPr="00883FC0">
        <w:rPr>
          <w:rFonts w:ascii="Cambria Math" w:hAnsi="Cambria Math" w:cs="Cambria Math"/>
          <w:sz w:val="24"/>
          <w:szCs w:val="24"/>
          <w:lang w:val="en-GB"/>
        </w:rPr>
        <w:t>‑</w:t>
      </w:r>
      <w:r w:rsidRPr="00883FC0">
        <w:rPr>
          <w:rFonts w:ascii="Arial" w:hAnsi="Arial" w:cs="Arial"/>
          <w:sz w:val="24"/>
          <w:szCs w:val="24"/>
          <w:lang w:val="en-GB"/>
        </w:rPr>
        <w:t xml:space="preserve">sup.fr/; DGAL—VetAgro Sup </w:t>
      </w:r>
      <w:r w:rsidR="009B1CAD" w:rsidRPr="00883FC0">
        <w:rPr>
          <w:rFonts w:ascii="Arial" w:hAnsi="Arial" w:cs="Arial"/>
          <w:sz w:val="24"/>
          <w:szCs w:val="24"/>
          <w:lang w:val="en-GB"/>
        </w:rPr>
        <w:t>- I</w:t>
      </w:r>
      <w:r w:rsidRPr="00883FC0">
        <w:rPr>
          <w:rFonts w:ascii="Arial" w:hAnsi="Arial" w:cs="Arial"/>
          <w:sz w:val="24"/>
          <w:szCs w:val="24"/>
          <w:lang w:val="en-GB"/>
        </w:rPr>
        <w:t xml:space="preserve">NRAE funding). G. Bourgoin was supported by the AgreenSkills+ fellowship program (European Union program; </w:t>
      </w:r>
      <w:proofErr w:type="spellStart"/>
      <w:r w:rsidRPr="00883FC0">
        <w:rPr>
          <w:rFonts w:ascii="Arial" w:hAnsi="Arial" w:cs="Arial"/>
          <w:sz w:val="24"/>
          <w:szCs w:val="24"/>
          <w:lang w:val="en-GB"/>
        </w:rPr>
        <w:t>MarieCurie</w:t>
      </w:r>
      <w:proofErr w:type="spellEnd"/>
      <w:r w:rsidRPr="00883FC0">
        <w:rPr>
          <w:rFonts w:ascii="Arial" w:hAnsi="Arial" w:cs="Arial"/>
          <w:sz w:val="24"/>
          <w:szCs w:val="24"/>
          <w:lang w:val="en-GB"/>
        </w:rPr>
        <w:t xml:space="preserve"> FP7 COFUND People Programme; grant agreement n_609398). </w:t>
      </w:r>
    </w:p>
    <w:p w14:paraId="07732D6D" w14:textId="77777777" w:rsidR="00F362D4" w:rsidRPr="00883FC0" w:rsidRDefault="00F362D4" w:rsidP="00A0712B">
      <w:pPr>
        <w:spacing w:after="0" w:line="360" w:lineRule="auto"/>
        <w:jc w:val="both"/>
        <w:rPr>
          <w:rFonts w:ascii="Arial" w:hAnsi="Arial" w:cs="Arial"/>
          <w:color w:val="000000" w:themeColor="text1"/>
          <w:sz w:val="28"/>
          <w:lang w:val="en-US"/>
        </w:rPr>
      </w:pPr>
    </w:p>
    <w:p w14:paraId="5B7F37B5" w14:textId="49ACDBA5" w:rsidR="00991FDE" w:rsidRPr="00883FC0" w:rsidRDefault="00991FDE" w:rsidP="00A0712B">
      <w:pPr>
        <w:spacing w:after="0" w:line="360" w:lineRule="auto"/>
        <w:jc w:val="center"/>
        <w:rPr>
          <w:rFonts w:ascii="Arial" w:hAnsi="Arial" w:cs="Arial"/>
          <w:b/>
          <w:color w:val="000000" w:themeColor="text1"/>
          <w:sz w:val="28"/>
          <w:lang w:val="en-US"/>
        </w:rPr>
      </w:pPr>
      <w:r w:rsidRPr="00883FC0">
        <w:rPr>
          <w:rFonts w:ascii="Arial" w:hAnsi="Arial" w:cs="Arial"/>
          <w:b/>
          <w:color w:val="000000" w:themeColor="text1"/>
          <w:sz w:val="28"/>
          <w:lang w:val="en-US"/>
        </w:rPr>
        <w:t>Conflict of interest disclosure</w:t>
      </w:r>
    </w:p>
    <w:p w14:paraId="5A1D555A" w14:textId="77777777" w:rsidR="00F362D4" w:rsidRPr="00883FC0" w:rsidRDefault="00F362D4" w:rsidP="00A0712B">
      <w:pPr>
        <w:spacing w:after="0" w:line="360" w:lineRule="auto"/>
        <w:jc w:val="both"/>
        <w:rPr>
          <w:rFonts w:ascii="Arial" w:hAnsi="Arial" w:cs="Arial"/>
          <w:sz w:val="24"/>
          <w:szCs w:val="24"/>
          <w:lang w:val="en-GB"/>
        </w:rPr>
      </w:pPr>
    </w:p>
    <w:p w14:paraId="7E05D3DE" w14:textId="247C92ED" w:rsidR="00F362D4" w:rsidRPr="00883FC0" w:rsidRDefault="00F362D4" w:rsidP="00A0712B">
      <w:pPr>
        <w:spacing w:after="0" w:line="360" w:lineRule="auto"/>
        <w:jc w:val="both"/>
        <w:rPr>
          <w:rFonts w:ascii="Arial" w:hAnsi="Arial" w:cs="Arial"/>
          <w:sz w:val="24"/>
          <w:szCs w:val="24"/>
          <w:lang w:val="en-GB"/>
        </w:rPr>
      </w:pPr>
      <w:r w:rsidRPr="00883FC0">
        <w:rPr>
          <w:rFonts w:ascii="Arial" w:hAnsi="Arial" w:cs="Arial"/>
          <w:sz w:val="24"/>
          <w:szCs w:val="24"/>
          <w:lang w:val="en-GB"/>
        </w:rPr>
        <w:t xml:space="preserve">The authors declare that they have no conflict of interest. </w:t>
      </w:r>
    </w:p>
    <w:p w14:paraId="69C1FDF1" w14:textId="77777777" w:rsidR="00F362D4" w:rsidRPr="00883FC0" w:rsidRDefault="00F362D4" w:rsidP="00A0712B">
      <w:pPr>
        <w:spacing w:after="0" w:line="360" w:lineRule="auto"/>
        <w:jc w:val="both"/>
        <w:rPr>
          <w:rFonts w:ascii="Arial" w:hAnsi="Arial" w:cs="Arial"/>
          <w:color w:val="000000" w:themeColor="text1"/>
          <w:sz w:val="28"/>
          <w:lang w:val="en-GB"/>
        </w:rPr>
      </w:pPr>
    </w:p>
    <w:p w14:paraId="59ABE586" w14:textId="0D2F46F6" w:rsidR="00991FDE" w:rsidRPr="00883FC0" w:rsidRDefault="00991FDE" w:rsidP="00A0712B">
      <w:pPr>
        <w:spacing w:after="0" w:line="360" w:lineRule="auto"/>
        <w:jc w:val="center"/>
        <w:rPr>
          <w:rFonts w:ascii="Arial" w:hAnsi="Arial" w:cs="Arial"/>
          <w:b/>
          <w:sz w:val="24"/>
          <w:szCs w:val="24"/>
          <w:lang w:val="en-GB"/>
        </w:rPr>
      </w:pPr>
      <w:r w:rsidRPr="00883FC0">
        <w:rPr>
          <w:rFonts w:ascii="Arial" w:hAnsi="Arial" w:cs="Arial"/>
          <w:b/>
          <w:color w:val="000000" w:themeColor="text1"/>
          <w:sz w:val="28"/>
          <w:lang w:val="en-US"/>
        </w:rPr>
        <w:t>Data, scripts, and supplementary information availability</w:t>
      </w:r>
    </w:p>
    <w:p w14:paraId="6CEFD508" w14:textId="77777777" w:rsidR="00F362D4" w:rsidRPr="00883FC0" w:rsidRDefault="00F362D4" w:rsidP="00A0712B">
      <w:pPr>
        <w:spacing w:after="0" w:line="360" w:lineRule="auto"/>
        <w:jc w:val="both"/>
        <w:rPr>
          <w:rFonts w:ascii="Arial" w:hAnsi="Arial" w:cs="Arial"/>
          <w:sz w:val="24"/>
          <w:szCs w:val="24"/>
          <w:lang w:val="en-GB"/>
        </w:rPr>
      </w:pPr>
    </w:p>
    <w:p w14:paraId="52AC415B" w14:textId="70987080" w:rsidR="00B63843" w:rsidRPr="00883FC0" w:rsidRDefault="00F362D4" w:rsidP="00A0712B">
      <w:pPr>
        <w:spacing w:after="0" w:line="360" w:lineRule="auto"/>
        <w:jc w:val="both"/>
        <w:rPr>
          <w:rFonts w:ascii="Arial" w:hAnsi="Arial" w:cs="Arial"/>
          <w:sz w:val="24"/>
          <w:szCs w:val="24"/>
          <w:lang w:val="en-GB"/>
        </w:rPr>
      </w:pPr>
      <w:r w:rsidRPr="00883FC0">
        <w:rPr>
          <w:rFonts w:ascii="Arial" w:hAnsi="Arial" w:cs="Arial"/>
          <w:sz w:val="24"/>
          <w:szCs w:val="24"/>
          <w:lang w:val="en-GB"/>
        </w:rPr>
        <w:t xml:space="preserve">The bioinformatic pipeline, the ASV analysed during the current study and the R script of statistic analyses are available in </w:t>
      </w:r>
      <w:proofErr w:type="spellStart"/>
      <w:r w:rsidRPr="00883FC0">
        <w:rPr>
          <w:rFonts w:ascii="Arial" w:hAnsi="Arial" w:cs="Arial"/>
          <w:sz w:val="24"/>
          <w:szCs w:val="24"/>
          <w:lang w:val="en-GB"/>
        </w:rPr>
        <w:t>MendeleyData</w:t>
      </w:r>
      <w:proofErr w:type="spellEnd"/>
      <w:r w:rsidRPr="00883FC0">
        <w:rPr>
          <w:rFonts w:ascii="Arial" w:hAnsi="Arial" w:cs="Arial"/>
          <w:sz w:val="24"/>
          <w:szCs w:val="24"/>
          <w:lang w:val="en-GB"/>
        </w:rPr>
        <w:t xml:space="preserve"> (DOI: </w:t>
      </w:r>
      <w:r w:rsidR="00894D4F" w:rsidRPr="00883FC0">
        <w:rPr>
          <w:rFonts w:ascii="Arial" w:hAnsi="Arial" w:cs="Arial"/>
          <w:sz w:val="24"/>
          <w:szCs w:val="24"/>
          <w:lang w:val="en-GB"/>
        </w:rPr>
        <w:t>10.17632/cm97cg87d6.1</w:t>
      </w:r>
      <w:r w:rsidRPr="00883FC0">
        <w:rPr>
          <w:rFonts w:ascii="Arial" w:hAnsi="Arial" w:cs="Arial"/>
          <w:sz w:val="24"/>
          <w:szCs w:val="24"/>
          <w:lang w:val="en-GB"/>
        </w:rPr>
        <w:t>).</w:t>
      </w:r>
    </w:p>
    <w:p w14:paraId="1FD69B8F" w14:textId="77777777" w:rsidR="00F362D4" w:rsidRPr="00883FC0" w:rsidRDefault="00F362D4" w:rsidP="00A0712B">
      <w:pPr>
        <w:pStyle w:val="Titre2"/>
        <w:spacing w:before="0" w:line="360" w:lineRule="auto"/>
        <w:rPr>
          <w:rFonts w:ascii="Arial" w:hAnsi="Arial" w:cs="Arial"/>
          <w:color w:val="000000" w:themeColor="text1"/>
          <w:sz w:val="28"/>
          <w:lang w:val="en-GB"/>
        </w:rPr>
      </w:pPr>
    </w:p>
    <w:p w14:paraId="4008DCAE" w14:textId="75B79B88" w:rsidR="00B63843" w:rsidRPr="00883FC0" w:rsidRDefault="00B63843" w:rsidP="00A0712B">
      <w:pPr>
        <w:pStyle w:val="Titre2"/>
        <w:spacing w:before="0" w:line="360" w:lineRule="auto"/>
        <w:jc w:val="center"/>
        <w:rPr>
          <w:rFonts w:ascii="Arial" w:hAnsi="Arial" w:cs="Arial"/>
          <w:b/>
          <w:color w:val="000000" w:themeColor="text1"/>
          <w:sz w:val="28"/>
          <w:lang w:val="en-GB"/>
        </w:rPr>
      </w:pPr>
      <w:r w:rsidRPr="00883FC0">
        <w:rPr>
          <w:rFonts w:ascii="Arial" w:hAnsi="Arial" w:cs="Arial"/>
          <w:b/>
          <w:color w:val="000000" w:themeColor="text1"/>
          <w:sz w:val="28"/>
          <w:lang w:val="en-GB"/>
        </w:rPr>
        <w:t>References</w:t>
      </w:r>
    </w:p>
    <w:p w14:paraId="0688CF31" w14:textId="49814AA4" w:rsidR="00B63843" w:rsidRPr="00883FC0" w:rsidRDefault="00B63843" w:rsidP="00A0712B">
      <w:pPr>
        <w:spacing w:after="0" w:line="360" w:lineRule="auto"/>
        <w:rPr>
          <w:rFonts w:ascii="Arial" w:hAnsi="Arial" w:cs="Arial"/>
          <w:sz w:val="24"/>
          <w:szCs w:val="24"/>
          <w:lang w:val="en-GB"/>
        </w:rPr>
      </w:pPr>
    </w:p>
    <w:p w14:paraId="1CA2B364" w14:textId="77777777" w:rsidR="00A36BEF" w:rsidRPr="00883FC0" w:rsidRDefault="00B63843"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GB"/>
        </w:rPr>
        <w:fldChar w:fldCharType="begin"/>
      </w:r>
      <w:r w:rsidR="00A36BEF" w:rsidRPr="00883FC0">
        <w:rPr>
          <w:rFonts w:ascii="Arial" w:hAnsi="Arial" w:cs="Arial"/>
          <w:sz w:val="24"/>
          <w:szCs w:val="24"/>
          <w:lang w:val="en-GB"/>
        </w:rPr>
        <w:instrText xml:space="preserve"> ADDIN ZOTERO_BIBL {"uncited":[],"omitted":[],"custom":[]} CSL_BIBLIOGRAPHY </w:instrText>
      </w:r>
      <w:r w:rsidRPr="00883FC0">
        <w:rPr>
          <w:rFonts w:ascii="Arial" w:hAnsi="Arial" w:cs="Arial"/>
          <w:sz w:val="24"/>
          <w:szCs w:val="24"/>
          <w:lang w:val="en-GB"/>
        </w:rPr>
        <w:fldChar w:fldCharType="separate"/>
      </w:r>
      <w:r w:rsidR="00A36BEF" w:rsidRPr="00883FC0">
        <w:rPr>
          <w:rFonts w:ascii="Arial" w:hAnsi="Arial" w:cs="Arial"/>
          <w:sz w:val="24"/>
          <w:szCs w:val="24"/>
          <w:lang w:val="en-US"/>
        </w:rPr>
        <w:t xml:space="preserve">Acerini, C.I., Morris, S., Morris, A., Kenyon, F., McBean, D., Pemberton, J.M., Albery, G.F., 2022. Helminth parasites are associated with reduced survival probability </w:t>
      </w:r>
      <w:r w:rsidR="00A36BEF" w:rsidRPr="00883FC0">
        <w:rPr>
          <w:rFonts w:ascii="Arial" w:hAnsi="Arial" w:cs="Arial"/>
          <w:sz w:val="24"/>
          <w:szCs w:val="24"/>
          <w:lang w:val="en-US"/>
        </w:rPr>
        <w:lastRenderedPageBreak/>
        <w:t>in young red deer. Parasitology 149, 1702–1708. https://doi.org/10.1017/S0031182022001111</w:t>
      </w:r>
    </w:p>
    <w:p w14:paraId="28C8C2A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Acevedo, P., Cassinello, J., Gortazar, C., 2008. The Iberian ibex is under an expansion trend but displaced to suboptimal habitats by the presence of extensive goat livestock in central Spain, in: Hawksworth, D.L., Bull, A.T. (Eds.), Biodiversity and Conservation in Europe, Topics in Biodiversity and Conservation. Springer Netherlands, Dordrecht, pp. 119–134. https://doi.org/10.1007/978-1-4020-6865-2_9</w:t>
      </w:r>
    </w:p>
    <w:p w14:paraId="38DFFA1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Albery, G.F., Morris, A., Morris, S., Kenyon, F., Nussey, D.H., Pemberton, J.M., 2021. Fitness costs of parasites explain multiple life-history trade-offs in a wild mammal. Am. Nat. 197, 324–335. https://doi.org/10.1086/712633</w:t>
      </w:r>
    </w:p>
    <w:p w14:paraId="03898558"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Albon, S.D., Stien, A., Irvine, R.J., Langvatn, R., Ropstad, E., Halvorsen, O., 2002. The role of parasites in the dynamics of a reindeer population. Proc. R. Soc. Lond. B Biol. Sci. 269, 1625–1632. https://doi.org/10.1098/rspb.2002.2064</w:t>
      </w:r>
    </w:p>
    <w:p w14:paraId="4DCD3DA9"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Avramenko, R.W., Redman, E.M., Lewis, R., Yazwinski, T.A., Wasmuth, J.D., Gilleard, J.S., 2015. Exploring the gastrointestinal “Nemabiome”: deep amplicon sequencing to quantify the species composition of parasitic nematode communities. PLoS One 10(12), e0143559. https://doi.org/10.1371/journal.pone.0143559</w:t>
      </w:r>
    </w:p>
    <w:p w14:paraId="55C35B2E"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Avramenko, R.W., Redman, E.M., Melville, L., Bartley, Y., Wit, J., Queiroz, C., Bartley, D.J., Gilleard, J.S., 2019. Deep amplicon sequencing as a powerful new tool to screen for sequence polymorphisms associated with anthelmintic resistance in parasitic nematode populations. Int. J. Parasitol. 49, 13–26. https://doi.org/10.1016/j.ijpara.2018.10.005</w:t>
      </w:r>
    </w:p>
    <w:p w14:paraId="428DC4E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Beaumelle, C., Redman, E., Verheyden, H., Jacquiet, P., Bégoc, N., Veyssière, F., Benabed, S., Cargnelutti, B., Lourtet, B., Poirel, M.-T., de Rijke, J., Yannic, G., Gilleard, J.S., Bourgoin, G., 2022. Generalist nematodes dominate the nemabiome of roe deer in sympatry with sheep at a regional level. Int. J. Parasitol. https://doi.org/10.1016/j.ijpara.2022.07.005</w:t>
      </w:r>
    </w:p>
    <w:p w14:paraId="53C8DAC4"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Beaumelle, C., Redman, E.M., de Rijke, J., Wit, J., Benabed, S., Debias, F., Duhayer, J., Pardonnet, S., Poirel, M.-T., Capron, G., Chabot, S., Rey, B., Yannic, G., Gilleard, J.S., Bourgoin, G., 2021. Metabarcoding in two isolated populations of wild roe deer (</w:t>
      </w:r>
      <w:r w:rsidRPr="00883FC0">
        <w:rPr>
          <w:rFonts w:ascii="Arial" w:hAnsi="Arial" w:cs="Arial"/>
          <w:i/>
          <w:iCs/>
          <w:sz w:val="24"/>
          <w:szCs w:val="24"/>
          <w:lang w:val="en-US"/>
        </w:rPr>
        <w:t>Capreolus capreolus</w:t>
      </w:r>
      <w:r w:rsidRPr="00883FC0">
        <w:rPr>
          <w:rFonts w:ascii="Arial" w:hAnsi="Arial" w:cs="Arial"/>
          <w:sz w:val="24"/>
          <w:szCs w:val="24"/>
          <w:lang w:val="en-US"/>
        </w:rPr>
        <w:t xml:space="preserve">) reveals variation in gastrointestinal </w:t>
      </w:r>
      <w:r w:rsidRPr="00883FC0">
        <w:rPr>
          <w:rFonts w:ascii="Arial" w:hAnsi="Arial" w:cs="Arial"/>
          <w:sz w:val="24"/>
          <w:szCs w:val="24"/>
          <w:lang w:val="en-US"/>
        </w:rPr>
        <w:lastRenderedPageBreak/>
        <w:t>nematode community composition between regions and among age classes. Parasit. Vectors 14, 594. https://doi.org/10.1186/s13071-021-05087-5</w:t>
      </w:r>
    </w:p>
    <w:p w14:paraId="5B7D7827"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Biber, J.-P., 2010. Transhumance in France. Pastoralism 1, 91–98. https://doi.org/10.3362/2041-7136.2010.006</w:t>
      </w:r>
    </w:p>
    <w:p w14:paraId="77776008"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Blaxter, M., Koutsovoulos, G., 2015. The evolution of parasitism in Nematoda. </w:t>
      </w:r>
      <w:r w:rsidRPr="00883FC0">
        <w:rPr>
          <w:rFonts w:ascii="Arial" w:hAnsi="Arial" w:cs="Arial"/>
          <w:sz w:val="24"/>
          <w:szCs w:val="24"/>
        </w:rPr>
        <w:t>Parasitology 142, S26–S39. https://doi.org/10.1017/S0031182014000791</w:t>
      </w:r>
    </w:p>
    <w:p w14:paraId="39AC1A61" w14:textId="2CCF6990"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Bordes, L., Dumont, N., Lespine, A., Souil, E., Sutra, J.-F., Prévot, F., Grisez, C., Romanos, L., Dailledouze, A., Jacquiet, P., 2020. </w:t>
      </w:r>
      <w:r w:rsidRPr="00883FC0">
        <w:rPr>
          <w:rFonts w:ascii="Arial" w:hAnsi="Arial" w:cs="Arial"/>
          <w:sz w:val="24"/>
          <w:szCs w:val="24"/>
          <w:lang w:val="en-US"/>
        </w:rPr>
        <w:t>First report of multiple resistance to eprinomectin and benzimidazole in</w:t>
      </w:r>
      <w:r w:rsidRPr="00883FC0">
        <w:rPr>
          <w:rFonts w:ascii="Arial" w:hAnsi="Arial" w:cs="Arial"/>
          <w:i/>
          <w:iCs/>
          <w:sz w:val="24"/>
          <w:szCs w:val="24"/>
          <w:lang w:val="en-US"/>
        </w:rPr>
        <w:t xml:space="preserve"> Haemonchus contortus</w:t>
      </w:r>
      <w:r w:rsidRPr="00883FC0">
        <w:rPr>
          <w:rFonts w:ascii="Arial" w:hAnsi="Arial" w:cs="Arial"/>
          <w:sz w:val="24"/>
          <w:szCs w:val="24"/>
          <w:lang w:val="en-US"/>
        </w:rPr>
        <w:t xml:space="preserve"> on a dairy goat farm in France. Parasitol. Int. 76, 102063. https://doi.org/10.1016/j.parint.2020.102063</w:t>
      </w:r>
    </w:p>
    <w:p w14:paraId="1A7CBE4D"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Bourgoin, G., Portanier, E., Poirel, M.-T., Itty, C., Duhayer, J., Benabed, S., Cockenpot, A., Callait-Cardinal, M.-P., Garel, M., 2021. Reproductive females and young mouflon (</w:t>
      </w:r>
      <w:r w:rsidRPr="00883FC0">
        <w:rPr>
          <w:rFonts w:ascii="Arial" w:hAnsi="Arial" w:cs="Arial"/>
          <w:i/>
          <w:iCs/>
          <w:sz w:val="24"/>
          <w:szCs w:val="24"/>
          <w:lang w:val="en-US"/>
        </w:rPr>
        <w:t>Ovis gmelini musimon</w:t>
      </w:r>
      <w:r w:rsidRPr="00883FC0">
        <w:rPr>
          <w:rFonts w:ascii="Arial" w:hAnsi="Arial" w:cs="Arial"/>
          <w:sz w:val="24"/>
          <w:szCs w:val="24"/>
          <w:lang w:val="en-US"/>
        </w:rPr>
        <w:t xml:space="preserve"> × </w:t>
      </w:r>
      <w:r w:rsidRPr="00883FC0">
        <w:rPr>
          <w:rFonts w:ascii="Arial" w:hAnsi="Arial" w:cs="Arial"/>
          <w:i/>
          <w:iCs/>
          <w:sz w:val="24"/>
          <w:szCs w:val="24"/>
          <w:lang w:val="en-US"/>
        </w:rPr>
        <w:t>Ovis</w:t>
      </w:r>
      <w:r w:rsidRPr="00883FC0">
        <w:rPr>
          <w:rFonts w:ascii="Arial" w:hAnsi="Arial" w:cs="Arial"/>
          <w:sz w:val="24"/>
          <w:szCs w:val="24"/>
          <w:lang w:val="en-US"/>
        </w:rPr>
        <w:t xml:space="preserve"> sp.) in poor body condition are the main spreaders of gastrointestinal parasites. Parasitology 148, 809–818. https://doi.org/10.1017/S0031182021000329</w:t>
      </w:r>
    </w:p>
    <w:p w14:paraId="3E9D5941"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Boyer, F., Mercier, C., Bonin, A., Le Bras, Y., Taberlet, P., Coissac, E., 2016. obitools: a unix-inspired software package for DNA metabarcoding. Mol. Ecol. Resour. 16, 176–182. https://doi.org/10.1111/1755-0998.12428</w:t>
      </w:r>
    </w:p>
    <w:p w14:paraId="3575DED1"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Brambilla, A., 2020. Caratterizzazione genetica delle popolazioni di stambecco delle Alpi occidentali. Department of Evolutionary Biology and Environmental Studies, Zurich.</w:t>
      </w:r>
    </w:p>
    <w:p w14:paraId="05F1C75B" w14:textId="6E9A1572"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 xml:space="preserve">Brambilla, A., Bassano, B., Biebach, I., Bollmann, K., Keller, L., Toïgo, C., von Hardenberg, A., 2022. Alpine Ibex </w:t>
      </w:r>
      <w:r w:rsidRPr="00883FC0">
        <w:rPr>
          <w:rFonts w:ascii="Arial" w:hAnsi="Arial" w:cs="Arial"/>
          <w:i/>
          <w:iCs/>
          <w:sz w:val="24"/>
          <w:szCs w:val="24"/>
          <w:lang w:val="en-US"/>
        </w:rPr>
        <w:t>Capra ibex</w:t>
      </w:r>
      <w:r w:rsidRPr="00883FC0">
        <w:rPr>
          <w:rFonts w:ascii="Arial" w:hAnsi="Arial" w:cs="Arial"/>
          <w:sz w:val="24"/>
          <w:szCs w:val="24"/>
          <w:lang w:val="en-US"/>
        </w:rPr>
        <w:t xml:space="preserve"> Linnaeus, 1758, in: Corlatti, L., Zachos, F.E. (Eds.), Terrestrial Cetartiodactyla, Handbook of the Mammals of Europe. Springer International Publishing, Cham, pp. 383–408. https://doi.org/10.1007/978-3-030-24475-0_32</w:t>
      </w:r>
    </w:p>
    <w:p w14:paraId="27798FDA" w14:textId="4A544841"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 xml:space="preserve">Brambilla, A., Von Hardenberg, A., Nelli, L., Bassano, B., 2020. Distribution, status, and recent population dynamics of Alpine ibex </w:t>
      </w:r>
      <w:r w:rsidRPr="00883FC0">
        <w:rPr>
          <w:rFonts w:ascii="Arial" w:hAnsi="Arial" w:cs="Arial"/>
          <w:i/>
          <w:iCs/>
          <w:sz w:val="24"/>
          <w:szCs w:val="24"/>
          <w:lang w:val="en-US"/>
        </w:rPr>
        <w:t>Capra ibex</w:t>
      </w:r>
      <w:r w:rsidRPr="00883FC0">
        <w:rPr>
          <w:rFonts w:ascii="Arial" w:hAnsi="Arial" w:cs="Arial"/>
          <w:sz w:val="24"/>
          <w:szCs w:val="24"/>
          <w:lang w:val="en-US"/>
        </w:rPr>
        <w:t xml:space="preserve"> in Europe. Mammal Rev. 50, 267–277. https://doi.org/10.1111/mam.12194</w:t>
      </w:r>
    </w:p>
    <w:p w14:paraId="7D9074F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Brivio, F., Ciuti, S., Pipia, A., Grignolio, S., Apollonio, M., 2022. Livestock displace European mouflon from optimal foraging sites. Eur. J. Wildl. Res. 68, 30. https://doi.org/10.1007/s10344-022-01581-y</w:t>
      </w:r>
    </w:p>
    <w:p w14:paraId="29E3E83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Brown, T.L., Airs, P.M., Porter, S., Caplat, P., Morgan, E.R., 2022. Understanding the role of wild ruminants in anthelmintic resistance in livestock. Biol. Lett. 18, 20220057. https://doi.org/10.1098/rsbl.2022.0057</w:t>
      </w:r>
    </w:p>
    <w:p w14:paraId="27517B80"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Burgess, C.G.S., Bartley, Y., Redman, E., Skuce, P.J., Nath, M., Whitelaw, F., Tait, A., Gilleard, J.S., Jackson, F., 2012. A survey of the trichostrongylid nematode species present on UK sheep farms and associated anthelmintic control practices. Vet. Parasitol. 189, 299–307. https://doi.org/10.1016/j.vetpar.2012.04.009</w:t>
      </w:r>
    </w:p>
    <w:p w14:paraId="7BFBA354"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Burnham, K.P., Anderson, D.R., 2002. Model selection and multimodel inference: a practical information-theoretic approach, 2nd ed. Springer, New York. https://doi.org/10.1007/b97636</w:t>
      </w:r>
    </w:p>
    <w:p w14:paraId="7FB5D8CE"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Calderón</w:t>
      </w:r>
      <w:r w:rsidRPr="00883FC0">
        <w:rPr>
          <w:rFonts w:ascii="Cambria Math" w:hAnsi="Cambria Math" w:cs="Cambria Math"/>
          <w:sz w:val="24"/>
          <w:szCs w:val="24"/>
          <w:lang w:val="en-US"/>
        </w:rPr>
        <w:t>‐</w:t>
      </w:r>
      <w:r w:rsidRPr="00883FC0">
        <w:rPr>
          <w:rFonts w:ascii="Arial" w:hAnsi="Arial" w:cs="Arial"/>
          <w:sz w:val="24"/>
          <w:szCs w:val="24"/>
          <w:lang w:val="en-US"/>
        </w:rPr>
        <w:t>Sanou, I., Münkemüller, T., Boyer, F., Zinger, L., Thuiller, W., 2020. From environmental DNA sequences to ecological conclusions: how strong is the influence of methodological choices? J. Biogeogr. 47, 193–206. https://doi.org/10.1111/jbi.13681</w:t>
      </w:r>
    </w:p>
    <w:p w14:paraId="7E4B4A72"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Callahan, B.J., McMurdie, P.J., Holmes, S.P., 2017. Exact sequence variants should replace operational taxonomic units in marker-gene data analysis. ISME J. 11, 2639–2643. https://doi.org/10.1038/ismej.2017.119</w:t>
      </w:r>
    </w:p>
    <w:p w14:paraId="2974021C"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Callahan, B.J., McMurdie, P.J., Rosen, M.J., Han, A.W., Johnson, A.J.A., Holmes, S.P., 2016. DADA2: high-resolution sample inference from Illumina amplicon data. Nat. Methods 13, 581–583. https://doi.org/10.1038/nmeth.3869</w:t>
      </w:r>
    </w:p>
    <w:p w14:paraId="6281A80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Carcereri, A., Stancampiano, L., Marchiori, E., Sturaro, E., Ramanzin, M., Cassini, R., 2021. </w:t>
      </w:r>
      <w:r w:rsidRPr="00883FC0">
        <w:rPr>
          <w:rFonts w:ascii="Arial" w:hAnsi="Arial" w:cs="Arial"/>
          <w:sz w:val="24"/>
          <w:szCs w:val="24"/>
          <w:lang w:val="en-US"/>
        </w:rPr>
        <w:t>Factors influencing gastrointestinal parasites in a colony of Alpine ibex (</w:t>
      </w:r>
      <w:r w:rsidRPr="00883FC0">
        <w:rPr>
          <w:rFonts w:ascii="Arial" w:hAnsi="Arial" w:cs="Arial"/>
          <w:i/>
          <w:iCs/>
          <w:sz w:val="24"/>
          <w:szCs w:val="24"/>
          <w:lang w:val="en-US"/>
        </w:rPr>
        <w:t xml:space="preserve"> Capra ibex</w:t>
      </w:r>
      <w:r w:rsidRPr="00883FC0">
        <w:rPr>
          <w:rFonts w:ascii="Arial" w:hAnsi="Arial" w:cs="Arial"/>
          <w:sz w:val="24"/>
          <w:szCs w:val="24"/>
          <w:lang w:val="en-US"/>
        </w:rPr>
        <w:t>) interacting with domestic ruminants. Hystrix Ital. J. Mammal. 32, 95–101. https://doi.org/10.4404/hystrix-00393-2020</w:t>
      </w:r>
    </w:p>
    <w:p w14:paraId="2318667E"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Carlsson, A.M., Irvine, R.J., Wilson, K., Coulson, S.J., 2013. Adaptations to the Arctic: low-temperature development and cold tolerance in the free-living stages of a parasitic nematode from Svalbard. Polar Biol. 36, 997–1005. https://doi.org/10.1007/s00300-013-1323-7</w:t>
      </w:r>
    </w:p>
    <w:p w14:paraId="7A20C7F6"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 xml:space="preserve">Cerutti, M.C., Citterio, C.V., Bazzocchi, C., Epis, S., D’Amelio, S., Ferrari, N., Lanfranchi, P., 2010. Genetic variability of </w:t>
      </w:r>
      <w:r w:rsidRPr="00883FC0">
        <w:rPr>
          <w:rFonts w:ascii="Arial" w:hAnsi="Arial" w:cs="Arial"/>
          <w:i/>
          <w:iCs/>
          <w:sz w:val="24"/>
          <w:szCs w:val="24"/>
          <w:lang w:val="en-US"/>
        </w:rPr>
        <w:t>Haemonchus contortus</w:t>
      </w:r>
      <w:r w:rsidRPr="00883FC0">
        <w:rPr>
          <w:rFonts w:ascii="Arial" w:hAnsi="Arial" w:cs="Arial"/>
          <w:sz w:val="24"/>
          <w:szCs w:val="24"/>
          <w:lang w:val="en-US"/>
        </w:rPr>
        <w:t xml:space="preserve"> (Nematoda: Trichostrongyloidea) in alpine ruminant host species. J. Helminthol. 84, 276–283. https://doi.org/10.1017/S0022149X09990587</w:t>
      </w:r>
    </w:p>
    <w:p w14:paraId="56A4208D"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Charlier, J., Bartley, D.J., Sotiraki, S., Martinez-Valladares, M., Claerebout, E., von Samson-Himmelstjerna, G., Thamsborg, S.M., Hoste, H., Morgan, E.R., Rinaldi, L., 2022. Chapter Three - Anthelmintic resistance in ruminants: challenges and solutions, in: Rollinson, D., Stothard, R. (Eds.), Advances in Parasitology. Academic Press, pp. 171–227. https://doi.org/10.1016/bs.apar.2021.12.002</w:t>
      </w:r>
    </w:p>
    <w:p w14:paraId="7181A88C"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Charlier, J., Rinaldi, L., Musella, V., Ploeger, H.W., Chartier, C., Vineer, H.R., Hinney, B., von Samson-Himmelstjerna, G., Băcescu, B., Mickiewicz, M., Mateus, T.L., Martinez-Valladares, M., Quealy, S., Azaizeh, H., Sekovska, B., Akkari, H., Petkevicius, S., Hektoen, L., Höglund, J., Morgan, E.R., Bartley, D.J., Claerebout, E., 2020. Initial assessment of the economic burden of major parasitic helminth infections to the ruminant livestock industry in Europe. Prev. Vet. Med. 182, 105103. https://doi.org/10.1016/j.prevetmed.2020.105103</w:t>
      </w:r>
    </w:p>
    <w:p w14:paraId="162BEF3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Chintoan-Uta, C., Morgan, E.R., Skuce, P.J., Coles, G.C., 2014. Wild deer as potential vectors of anthelmintic-resistant abomasal nematodes between cattle and sheep farms. Proc. R. Soc. B Biol. Sci. 281, 20132985. https://doi.org/10.1098/rspb.2013.2985</w:t>
      </w:r>
    </w:p>
    <w:p w14:paraId="2E8490E8"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Chirichella, R., Apollonio, M., Putman, R., 2014. Competition between domestic and wild Ungulates., in: Putman, R., Apollonio, M. (Eds.), Behaviour and Management of European Ungulates. pp. 110–123.</w:t>
      </w:r>
    </w:p>
    <w:p w14:paraId="2EB7E727"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rPr>
        <w:t xml:space="preserve">Citterio, C.V., Caslini, C., Milani, F., Sala, M., Ferrari, N., Lanfranchi, P., 2006. </w:t>
      </w:r>
      <w:r w:rsidRPr="00883FC0">
        <w:rPr>
          <w:rFonts w:ascii="Arial" w:hAnsi="Arial" w:cs="Arial"/>
          <w:sz w:val="24"/>
          <w:szCs w:val="24"/>
          <w:lang w:val="en-US"/>
        </w:rPr>
        <w:t>Abomasal Nematode Community in an Alpine Chamois (</w:t>
      </w:r>
      <w:r w:rsidRPr="00883FC0">
        <w:rPr>
          <w:rFonts w:ascii="Arial" w:hAnsi="Arial" w:cs="Arial"/>
          <w:i/>
          <w:iCs/>
          <w:sz w:val="24"/>
          <w:szCs w:val="24"/>
          <w:lang w:val="en-US"/>
        </w:rPr>
        <w:t xml:space="preserve"> Rupicapra r. rupicapra</w:t>
      </w:r>
      <w:r w:rsidRPr="00883FC0">
        <w:rPr>
          <w:rFonts w:ascii="Arial" w:hAnsi="Arial" w:cs="Arial"/>
          <w:sz w:val="24"/>
          <w:szCs w:val="24"/>
          <w:lang w:val="en-US"/>
        </w:rPr>
        <w:t xml:space="preserve"> ) Population before and after a Die-Off. </w:t>
      </w:r>
      <w:r w:rsidRPr="00883FC0">
        <w:rPr>
          <w:rFonts w:ascii="Arial" w:hAnsi="Arial" w:cs="Arial"/>
          <w:sz w:val="24"/>
          <w:szCs w:val="24"/>
        </w:rPr>
        <w:t>J. Parasitol. 92, 918–927.</w:t>
      </w:r>
    </w:p>
    <w:p w14:paraId="602B98F6"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De Barba, M., Miquel, C., Boyer, F., Mercier, C., Rioux, D., Coissac, E., Taberlet, P., 2014. </w:t>
      </w:r>
      <w:r w:rsidRPr="00883FC0">
        <w:rPr>
          <w:rFonts w:ascii="Arial" w:hAnsi="Arial" w:cs="Arial"/>
          <w:sz w:val="24"/>
          <w:szCs w:val="24"/>
          <w:lang w:val="en-US"/>
        </w:rPr>
        <w:t>DNA metabarcoding multiplexing and validation of data accuracy for diet assessment: application to omnivorous diet. Mol. Ecol. Resour. 14, 306–323. https://doi.org/10.1111/1755-0998.12188</w:t>
      </w:r>
    </w:p>
    <w:p w14:paraId="0397EE6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Deplazes, P., Eckert, J., Mathis, A., Samson-Himmelstjerna, G. von, Zahner, H., 2016. Parasitology in veterinary medicine. Parasitology in veterinary medicine.</w:t>
      </w:r>
    </w:p>
    <w:p w14:paraId="76A0F758"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Dickinson, E.R., McFarland, C., Toïgo, C., Michael Scantlebury, D., Stephens, P.A., Marks, N.J., Morgan, E.R., 2024. Host movement dominates the predicted effects of climate change on parasite transmission between wild and domestic mountain ungulates. R. Soc. Open Sci. 11, 230469. https://doi.org/10.1098/rsos.230469</w:t>
      </w:r>
    </w:p>
    <w:p w14:paraId="183DF1B1"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lastRenderedPageBreak/>
        <w:t xml:space="preserve">Dimunová, D., Matoušková, P., Navrátilová, M., Nguyen, L.T., Ambrož, M., Vokřál, I., Szotáková, B., Skálová, L., 2022. Environmental circulation of the anthelmintic drug albendazole affects expression and activity of resistance-related genes in the parasitic nematode </w:t>
      </w:r>
      <w:r w:rsidRPr="00883FC0">
        <w:rPr>
          <w:rFonts w:ascii="Arial" w:hAnsi="Arial" w:cs="Arial"/>
          <w:i/>
          <w:sz w:val="24"/>
          <w:szCs w:val="24"/>
          <w:lang w:val="en-US"/>
        </w:rPr>
        <w:t>Haemonchus contortus</w:t>
      </w:r>
      <w:r w:rsidRPr="00883FC0">
        <w:rPr>
          <w:rFonts w:ascii="Arial" w:hAnsi="Arial" w:cs="Arial"/>
          <w:sz w:val="24"/>
          <w:szCs w:val="24"/>
          <w:lang w:val="en-US"/>
        </w:rPr>
        <w:t xml:space="preserve">. </w:t>
      </w:r>
      <w:r w:rsidRPr="00883FC0">
        <w:rPr>
          <w:rFonts w:ascii="Arial" w:hAnsi="Arial" w:cs="Arial"/>
          <w:sz w:val="24"/>
          <w:szCs w:val="24"/>
        </w:rPr>
        <w:t>Sci. Total Environ. 822, 153527. https://doi.org/10.1016/j.scitotenv.2022.153527</w:t>
      </w:r>
    </w:p>
    <w:p w14:paraId="1B6DDD8F" w14:textId="1A45CD4A"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Dyson, K., 2018. </w:t>
      </w:r>
      <w:r w:rsidRPr="00883FC0">
        <w:rPr>
          <w:rFonts w:ascii="Arial" w:hAnsi="Arial" w:cs="Arial"/>
          <w:sz w:val="24"/>
          <w:szCs w:val="24"/>
          <w:lang w:val="en-US"/>
        </w:rPr>
        <w:t>Custom community ecology helper R scripts. URL https://github.com/kdyson/R_Scripts</w:t>
      </w:r>
    </w:p>
    <w:p w14:paraId="60D96AA6"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Fiel, C.A., Fernández, A.S., Rodríguez, E.M., Fusé, L.A., Steffan, P.E., 2012. Observations on the free-living stages of cattle gastrointestinal nematodes. Vet. Parasitol. 187, 217–226. https://doi.org/10.1016/j.vetpar.2012.01.011</w:t>
      </w:r>
    </w:p>
    <w:p w14:paraId="0FDD48E3"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Francis, E.K., Šlapeta, J., 2023. Refugia or reservoir? Feral goats and their role in the maintenance and circulation of benzimidazole-resistant gastrointestinal nematodes on shared pastures. </w:t>
      </w:r>
      <w:r w:rsidRPr="00883FC0">
        <w:rPr>
          <w:rFonts w:ascii="Arial" w:hAnsi="Arial" w:cs="Arial"/>
          <w:sz w:val="24"/>
          <w:szCs w:val="24"/>
        </w:rPr>
        <w:t>Parasitology 1–11. https://doi.org/10.1017/S0031182023000380</w:t>
      </w:r>
    </w:p>
    <w:p w14:paraId="3741D321"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rPr>
        <w:t>Gauthier, D., Villaret, J., 1990. La réintroduction en France du bouquetin des Alpes. Rev Eco Terre Vie 45, 97–120. https://doi.org/10.3406/revec.1990.6338</w:t>
      </w:r>
    </w:p>
    <w:p w14:paraId="734D6856"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Gibbs, H.C., 1986. </w:t>
      </w:r>
      <w:r w:rsidRPr="00883FC0">
        <w:rPr>
          <w:rFonts w:ascii="Arial" w:hAnsi="Arial" w:cs="Arial"/>
          <w:sz w:val="24"/>
          <w:szCs w:val="24"/>
          <w:lang w:val="en-US"/>
        </w:rPr>
        <w:t>Hypobiosis in Parasitic Nematodes—An Update, in: Baker, J.R., Muller, R. (Eds.), Advances in Parasitology. Academic Press, pp. 129–174. https://doi.org/10.1016/S0065-308X(08)60343-7</w:t>
      </w:r>
    </w:p>
    <w:p w14:paraId="7BA892C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Grossen, C., Biebach, I., Angelone-Alasaad, S., Keller, L.F., Croll, D., 2018. Population genomics analyses of European ibex species show lower diversity and higher inbreeding in reintroduced populations. Evol. Appl. 11, 123–139. https://doi.org/10.1111/eva.12490</w:t>
      </w:r>
    </w:p>
    <w:p w14:paraId="0D1450C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Gruner, L., Sauvé, C., Boulard, C., Calamel, M., 2006. Analysis of the relationship between land use and the parasitism of sheep during their transhumance. Anim. Res. 55, 177–188. https://doi.org/10.1051/animres:2006009</w:t>
      </w:r>
    </w:p>
    <w:p w14:paraId="5F6BFD2B" w14:textId="49F1D91C"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Hahnel, S.R., Zdraljevic, S., Rodriguez, B.C., Zhao, Y., McGrath, P.T., Andersen, E.C., 2018. Extreme allelic heterogeneity at a</w:t>
      </w:r>
      <w:r w:rsidRPr="00883FC0">
        <w:rPr>
          <w:rFonts w:ascii="Arial" w:hAnsi="Arial" w:cs="Arial"/>
          <w:i/>
          <w:iCs/>
          <w:sz w:val="24"/>
          <w:szCs w:val="24"/>
          <w:lang w:val="en-US"/>
        </w:rPr>
        <w:t xml:space="preserve"> Caenorhabditis elegans</w:t>
      </w:r>
      <w:r w:rsidRPr="00883FC0">
        <w:rPr>
          <w:rFonts w:ascii="Arial" w:hAnsi="Arial" w:cs="Arial"/>
          <w:sz w:val="24"/>
          <w:szCs w:val="24"/>
          <w:lang w:val="en-US"/>
        </w:rPr>
        <w:t xml:space="preserve"> beta-tubulin locus explains natural resistance to benzimidazoles. PLOS Pathog. 14, e1007226. https://doi.org/10.1371/journal.ppat.1007226</w:t>
      </w:r>
    </w:p>
    <w:p w14:paraId="4CDC45C5"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Hamilton, K.M., Waghorn, T.S., de Waal, T., Keane, O.M., Green, P., Leathwick, D.M., 2022. </w:t>
      </w:r>
      <w:r w:rsidRPr="00883FC0">
        <w:rPr>
          <w:rFonts w:ascii="Arial" w:hAnsi="Arial" w:cs="Arial"/>
          <w:i/>
          <w:iCs/>
          <w:sz w:val="24"/>
          <w:szCs w:val="24"/>
          <w:lang w:val="en-US"/>
        </w:rPr>
        <w:t>In vitro</w:t>
      </w:r>
      <w:r w:rsidRPr="00883FC0">
        <w:rPr>
          <w:rFonts w:ascii="Arial" w:hAnsi="Arial" w:cs="Arial"/>
          <w:sz w:val="24"/>
          <w:szCs w:val="24"/>
          <w:lang w:val="en-US"/>
        </w:rPr>
        <w:t xml:space="preserve"> evaluation of fitness parameters for isolates of </w:t>
      </w:r>
      <w:r w:rsidRPr="00883FC0">
        <w:rPr>
          <w:rFonts w:ascii="Arial" w:hAnsi="Arial" w:cs="Arial"/>
          <w:i/>
          <w:iCs/>
          <w:sz w:val="24"/>
          <w:szCs w:val="24"/>
          <w:lang w:val="en-US"/>
        </w:rPr>
        <w:t>Teladorsagia circumcincta</w:t>
      </w:r>
      <w:r w:rsidRPr="00883FC0">
        <w:rPr>
          <w:rFonts w:ascii="Arial" w:hAnsi="Arial" w:cs="Arial"/>
          <w:sz w:val="24"/>
          <w:szCs w:val="24"/>
          <w:lang w:val="en-US"/>
        </w:rPr>
        <w:t xml:space="preserve"> resistant and susceptible to multiple anthelmintic classes. </w:t>
      </w:r>
      <w:r w:rsidRPr="00883FC0">
        <w:rPr>
          <w:rFonts w:ascii="Arial" w:hAnsi="Arial" w:cs="Arial"/>
          <w:sz w:val="24"/>
          <w:szCs w:val="24"/>
        </w:rPr>
        <w:t>Vet. Parasitol. 310, 109791. https://doi.org/10.1016/j.vetpar.2022.109791</w:t>
      </w:r>
    </w:p>
    <w:p w14:paraId="396D66A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lastRenderedPageBreak/>
        <w:t xml:space="preserve">Hellard, E., Fouchet, D., Vavre, F., Pontier, D., 2015. </w:t>
      </w:r>
      <w:r w:rsidRPr="00883FC0">
        <w:rPr>
          <w:rFonts w:ascii="Arial" w:hAnsi="Arial" w:cs="Arial"/>
          <w:sz w:val="24"/>
          <w:szCs w:val="24"/>
          <w:lang w:val="en-US"/>
        </w:rPr>
        <w:t>Parasite–Parasite Interactions in the Wild: How To Detect Them? Trends Parasitol. 31, 640–652. https://doi.org/10.1016/j.pt.2015.07.005</w:t>
      </w:r>
    </w:p>
    <w:p w14:paraId="35086844"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Hinney, B., Schoiswohl, J., Melville, L., Ameen, V.J., Wille-Piazzai, W., Bauer, K., Joachim, A., Krücken, J., Skuce, P.J., Krametter-Frötscher, R., 2020. High frequency of benzimidazole resistance alleles in trichostrongyloids from Austrian sheep flocks in an alpine transhumance management system. BMC Vet. Res. 16, 132. https://doi.org/10.1186/s12917-020-02353-z</w:t>
      </w:r>
    </w:p>
    <w:p w14:paraId="1E94D0B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Hodgkinson, J.E., Kaplan, R.M., Kenyon, F., Morgan, E.R., Park, A.W., Paterson, S., Babayan, S.A., Beesley, N.J., Britton, C., Chaudhry, U., Doyle, S.R., Ezenwa, V.O., Fenton, A., Howell, S.B., Laing, R., Mable, B.K., Matthews, L., McIntyre, J., Milne, C.E., Morrison, T.A., Prentice, J.C., Sargison, N.D., Williams, D.J.L., Wolstenholme, A.J., Devaney, E., 2019. Refugia and anthelmintic resistance: Concepts and challenges. Int. J. Parasitol. Drugs Drug Resist. 10, 51–57. https://doi.org/10.1016/j.ijpddr.2019.05.001</w:t>
      </w:r>
    </w:p>
    <w:p w14:paraId="4E18F34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Hudson, P.J., Dobson, A.P., Lafferty, K.D., 2006. Is a healthy ecosystem one that is rich in parasites? Trends Ecol. Evol., Twenty years of TREE - part 2 21, 381–385. https://doi.org/10.1016/j.tree.2006.04.007</w:t>
      </w:r>
    </w:p>
    <w:p w14:paraId="2E398DA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Kaplan, R.M., Denwood, M.J., Nielsen, M.K., Thamsborg, S.M., Torgerson, P.R., Gilleard, J.S., Dobson, R.J., Vercruysse, J., Levecke, B., 2023. World Association for the Advancement of Veterinary Parasitology (W.A.A.V.P.) guideline for diagnosing anthelmintic resistance using the faecal egg count reduction test in ruminants, horses and swine. Vet. Parasitol. 318, 109936. https://doi.org/10.1016/j.vetpar.2023.109936</w:t>
      </w:r>
    </w:p>
    <w:p w14:paraId="70FB6B72"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Kaplan, R.M., Vidyashankar, A.N., 2012. An inconvenient truth: Global worming and anthelmintic resistance. Vet. Parasitol., Special issue: novel approaches to the control of helminth parasites of livestock 186, 70–78. https://doi.org/10.1016/j.vetpar.2011.11.048</w:t>
      </w:r>
    </w:p>
    <w:p w14:paraId="7855EE52"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Kessler, C., Brambilla, A., Waldvogel, D., Camenisch, G., Biebach, I., Leigh, D.M., Grossen, C., Croll, D., 2022. A robust sequencing assay of a thousand amplicons for the high-throughput population monitoring of Alpine ibex immunogenetics. Mol. Ecol. Resour. 22, 66–85. https://doi.org/10.1111/1755-0998.13452</w:t>
      </w:r>
    </w:p>
    <w:p w14:paraId="13A4AE0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Khanyari, M., Robinson, S., Milner-Gulland, E.J., Morgan, E.R., Rana, R.S., Suryawanshi, K.R., 2022. Pastoralism in the high Himalayas: Understanding changing practices and their implications for parasite transmission between livestock and wildlife. Pastoralism 12, 44. https://doi.org/10.1186/s13570-022-00257-1</w:t>
      </w:r>
    </w:p>
    <w:p w14:paraId="2FB4640F"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Klein, S.L., 2004. Hormonal and immunological mechanisms mediating sex differences in parasite infection. </w:t>
      </w:r>
      <w:r w:rsidRPr="00883FC0">
        <w:rPr>
          <w:rFonts w:ascii="Arial" w:hAnsi="Arial" w:cs="Arial"/>
          <w:sz w:val="24"/>
          <w:szCs w:val="24"/>
        </w:rPr>
        <w:t>Parasite Immunol. 26, 247–264. https://doi.org/10.1111/j.0141-9838.2004.00710.x</w:t>
      </w:r>
    </w:p>
    <w:p w14:paraId="366F6B6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Klein, S.L., 2000. </w:t>
      </w:r>
      <w:r w:rsidRPr="00883FC0">
        <w:rPr>
          <w:rFonts w:ascii="Arial" w:hAnsi="Arial" w:cs="Arial"/>
          <w:sz w:val="24"/>
          <w:szCs w:val="24"/>
          <w:lang w:val="en-US"/>
        </w:rPr>
        <w:t>The effects of hormones on sex differences in infection: from genes to behavior. Neurosci. Biobehav. Rev. 24, 627–638. https://doi.org/10.1016/S0149-7634(00)00027-0</w:t>
      </w:r>
    </w:p>
    <w:p w14:paraId="6B78A4C9"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Kolar, L., Flajs, V.C., Kužner, J., Marc, I., Pogačnik, M., Bidovec, A., van Gestel, C.A.M., Eržen, N.K., 2006. Time profile of abamectin and doramectin excretion and degradation in sheep faeces. Environ. Pollut., Soil and Sediment Remediation 144, 197–202. https://doi.org/10.1016/j.envpol.2005.12.019</w:t>
      </w:r>
    </w:p>
    <w:p w14:paraId="0E56A6B6"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 xml:space="preserve">Laca Megyesi, Š., Königová, A., Babják, M., Molnár, L., Rajský, M., Szestáková, E., Major, P., Soroka, J., Urda Dolinská, M., Komáromyová, M., Várady, M., 2019. Wild ruminants as a potential risk factor for transmission of drug resistance in the abomasal nematode </w:t>
      </w:r>
      <w:r w:rsidRPr="00883FC0">
        <w:rPr>
          <w:rFonts w:ascii="Arial" w:hAnsi="Arial" w:cs="Arial"/>
          <w:i/>
          <w:iCs/>
          <w:sz w:val="24"/>
          <w:szCs w:val="24"/>
          <w:lang w:val="en-US"/>
        </w:rPr>
        <w:t>Haemonchus contortus</w:t>
      </w:r>
      <w:r w:rsidRPr="00883FC0">
        <w:rPr>
          <w:rFonts w:ascii="Arial" w:hAnsi="Arial" w:cs="Arial"/>
          <w:sz w:val="24"/>
          <w:szCs w:val="24"/>
          <w:lang w:val="en-US"/>
        </w:rPr>
        <w:t>. Eur. J. Wildl. Res. 66, 9. https://doi.org/10.1007/s10344-019-1351-x</w:t>
      </w:r>
    </w:p>
    <w:p w14:paraId="2D4658FA"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Langrová, I., Makovcová, K., Vadlejch, J., Jankovská, I., Petrtýl, M., Fechtner, J., Keil, P., Lytvynets, A., Borkovcová, M., 2008. Arrested development of sheep strongyles: onset and resumption under field conditions of Central Europe. </w:t>
      </w:r>
      <w:r w:rsidRPr="00883FC0">
        <w:rPr>
          <w:rFonts w:ascii="Arial" w:hAnsi="Arial" w:cs="Arial"/>
          <w:sz w:val="24"/>
          <w:szCs w:val="24"/>
        </w:rPr>
        <w:t>Parasitol. Res. 103, 387–392. https://doi.org/10.1007/s00436-008-0984-6</w:t>
      </w:r>
    </w:p>
    <w:p w14:paraId="7ED045E2"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Lavín, S., Marco, I., Rossi, L., Meneguz, P.G., Viñas, L., 1997. </w:t>
      </w:r>
      <w:r w:rsidRPr="00883FC0">
        <w:rPr>
          <w:rFonts w:ascii="Arial" w:hAnsi="Arial" w:cs="Arial"/>
          <w:sz w:val="24"/>
          <w:szCs w:val="24"/>
          <w:lang w:val="en-US"/>
        </w:rPr>
        <w:t>Haemonchosis in Spanish Ibex. J. Wildl. Dis. 33, 656–659. https://doi.org/10.7589/0090-3558-33.3.656</w:t>
      </w:r>
    </w:p>
    <w:p w14:paraId="1715F1DB"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 xml:space="preserve">Leathwick, D.M., Ganesh, S., Waghorn, T.S., 2015. Evidence for reversion towards anthelmintic susceptibility in </w:t>
      </w:r>
      <w:r w:rsidRPr="00883FC0">
        <w:rPr>
          <w:rFonts w:ascii="Arial" w:hAnsi="Arial" w:cs="Arial"/>
          <w:i/>
          <w:iCs/>
          <w:sz w:val="24"/>
          <w:szCs w:val="24"/>
          <w:lang w:val="en-US"/>
        </w:rPr>
        <w:t>Teladorsagia circumcincta</w:t>
      </w:r>
      <w:r w:rsidRPr="00883FC0">
        <w:rPr>
          <w:rFonts w:ascii="Arial" w:hAnsi="Arial" w:cs="Arial"/>
          <w:sz w:val="24"/>
          <w:szCs w:val="24"/>
          <w:lang w:val="en-US"/>
        </w:rPr>
        <w:t xml:space="preserve"> in response to resistance management programmes. Int. J. Parasitol. Drugs Drug Resist. 5, 9–15. https://doi.org/10.1016/j.ijpddr.2015.01.001</w:t>
      </w:r>
    </w:p>
    <w:p w14:paraId="3FEC10B0"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Legendre, P., Legendre, L., 2012. Numerical Ecology. Elsevier.</w:t>
      </w:r>
    </w:p>
    <w:p w14:paraId="5E48F74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Leigh, J.W., Bryant, D., 2015. popart: full-feature software for haplotype network construction. Methods Ecol. Evol. 6, 1110–1116. https://doi.org/10.1111/2041-210x.12410</w:t>
      </w:r>
    </w:p>
    <w:p w14:paraId="3042E8E9"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Lello, J., Boag, B., Fenton, A., Stevenson, I.R., Hudson, P.J., 2004. Competition and mutualism among the gut helminths of a mammalian host. Nature 428, 840–844. https://doi.org/10.1038/nature02490</w:t>
      </w:r>
    </w:p>
    <w:p w14:paraId="11EDFA21"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Lozupone, C., Knight, R., 2005. UniFrac: a new phylogenetic method for comparing microbial communities. </w:t>
      </w:r>
      <w:r w:rsidRPr="00883FC0">
        <w:rPr>
          <w:rFonts w:ascii="Arial" w:hAnsi="Arial" w:cs="Arial"/>
          <w:sz w:val="24"/>
          <w:szCs w:val="24"/>
        </w:rPr>
        <w:t>Appl. Environ. Microbiol. 71, 8228–8235. https://doi.org/10.1128/AEM.71.12.8228-8235.2005</w:t>
      </w:r>
    </w:p>
    <w:p w14:paraId="71A18267"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Luzzago, C., Ebranati, E., Cabezón, O., Fernández-Sirera, L., Lavín, S., Rosell, R., Veo, C., Rossi, L., Cavallero, S., Lanfranchi, P., Marco, I., Zehender, G., 2016. </w:t>
      </w:r>
      <w:r w:rsidRPr="00883FC0">
        <w:rPr>
          <w:rFonts w:ascii="Arial" w:hAnsi="Arial" w:cs="Arial"/>
          <w:sz w:val="24"/>
          <w:szCs w:val="24"/>
          <w:lang w:val="en-US"/>
        </w:rPr>
        <w:t>Spatial and Temporal Phylogeny of Border Disease Virus in Pyrenean Chamois (</w:t>
      </w:r>
      <w:r w:rsidRPr="00883FC0">
        <w:rPr>
          <w:rFonts w:ascii="Arial" w:hAnsi="Arial" w:cs="Arial"/>
          <w:i/>
          <w:iCs/>
          <w:sz w:val="24"/>
          <w:szCs w:val="24"/>
          <w:lang w:val="en-US"/>
        </w:rPr>
        <w:t>Rupicapra p. pyrenaica</w:t>
      </w:r>
      <w:r w:rsidRPr="00883FC0">
        <w:rPr>
          <w:rFonts w:ascii="Arial" w:hAnsi="Arial" w:cs="Arial"/>
          <w:sz w:val="24"/>
          <w:szCs w:val="24"/>
          <w:lang w:val="en-US"/>
        </w:rPr>
        <w:t>). PLOS ONE 11, e0168232. https://doi.org/10.1371/journal.pone.0168232</w:t>
      </w:r>
    </w:p>
    <w:p w14:paraId="5C148F0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Marchand, P., Freycon, P., Herbaux, J.-P., Game, Y., Toïgo, C., Gilot-Fromont, E., Rossi, S., Hars, J., 2017. Sociospatial structure explains marked variation in brucellosis seroprevalence in an Alpine ibex population. Sci. Rep. 7, 15592. https://doi.org/10.1038/s41598-017-15803-w</w:t>
      </w:r>
    </w:p>
    <w:p w14:paraId="1BBF9859"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Margaillan, L., 2021. Simultaneous GPS monitoring during summer reveals habitat selection in male Alpine ibex is shaped by resource and interference competition with sheep herds (Master thesis). </w:t>
      </w:r>
      <w:r w:rsidRPr="00883FC0">
        <w:rPr>
          <w:rFonts w:ascii="Arial" w:hAnsi="Arial" w:cs="Arial"/>
          <w:sz w:val="24"/>
          <w:szCs w:val="24"/>
        </w:rPr>
        <w:t>Office Français de la Biodiversité.</w:t>
      </w:r>
    </w:p>
    <w:p w14:paraId="20444688"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Marreros, N., Frey, C.F., Willisch, C.S., Signer, C., Ryser-Degiorgis, M.-P., 2012. </w:t>
      </w:r>
      <w:r w:rsidRPr="00883FC0">
        <w:rPr>
          <w:rFonts w:ascii="Arial" w:hAnsi="Arial" w:cs="Arial"/>
          <w:sz w:val="24"/>
          <w:szCs w:val="24"/>
          <w:lang w:val="en-US"/>
        </w:rPr>
        <w:t>Coprological analyses on apparently healthy Alpine ibex (</w:t>
      </w:r>
      <w:r w:rsidRPr="00883FC0">
        <w:rPr>
          <w:rFonts w:ascii="Arial" w:hAnsi="Arial" w:cs="Arial"/>
          <w:i/>
          <w:iCs/>
          <w:sz w:val="24"/>
          <w:szCs w:val="24"/>
          <w:lang w:val="en-US"/>
        </w:rPr>
        <w:t>Capra ibex ibex</w:t>
      </w:r>
      <w:r w:rsidRPr="00883FC0">
        <w:rPr>
          <w:rFonts w:ascii="Arial" w:hAnsi="Arial" w:cs="Arial"/>
          <w:sz w:val="24"/>
          <w:szCs w:val="24"/>
          <w:lang w:val="en-US"/>
        </w:rPr>
        <w:t>) from two Swiss colonies. Vet. Parasitol. 186, 382–389. https://doi.org/10.1016/j.vetpar.2011.11.009</w:t>
      </w:r>
    </w:p>
    <w:p w14:paraId="76528BB8"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Martínez-Guijosa, J., Martínez-Carrasco, C., López-Olvera, J.R., Fernández-Aguilar, X., Colom-Cadena, A., Cabezón, O., Mentaberre, G., Ferrer, D., Velarde, R., Gassó, D., Garel, M., Rossi, L., Lavín, S., Serrano, E., 2015. Male-biased gastrointestinal parasitism in a nearly monomorphic mountain ungulate. Parasit. Vectors 8, 165. https://doi.org/10.1186/s13071-015-0774-9</w:t>
      </w:r>
    </w:p>
    <w:p w14:paraId="57C71A8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McKenna, P.B., 1998. The effect of previous cold storage on the subsequent recovery of infective third stage nematode larvae from sheep faeces. Vet. Parasitol. 80, 167–172. https://doi.org/10.1016/S0304-4017(98)00203-9</w:t>
      </w:r>
    </w:p>
    <w:p w14:paraId="0C50F96C"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McMurdie, P.J., Holmes, S., 2013. phyloseq: An R Package for Reproducible Interactive Analysis and Graphics of Microbiome Census Data. PLOS ONE 8, e61217. https://doi.org/10.1371/journal.pone.0061217</w:t>
      </w:r>
    </w:p>
    <w:p w14:paraId="197D51F1"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Morgan, E.R., Aziz, N.-A.A., Blanchard, A., Charlier, J., Charvet, C., Claerebout, E., Geldhof, P., Greer, A.W., Hertzberg, H., Hodgkinson, J., Höglund, J., Hoste, H., Kaplan, R.M., Martínez-Valladares, M., Mitchell, S., Ploeger, H.W., Rinaldi, L., von Samson-Himmelstjerna, G., Sotiraki, S., Schnyder, M., Skuce, P., Bartley, D., Kenyon, F., Thamsborg, S.M., Vineer, H.R., de Waal, T., Williams, A.R., van Wyk, J.A., Vercruysse, J., 2019. 100 Questions in Livestock Helminthology Research. Trends Parasitol. 35, 52–71. https://doi.org/10.1016/j.pt.2018.10.006</w:t>
      </w:r>
    </w:p>
    <w:p w14:paraId="77BD5CBE"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Murali, A., Bhargava, A., Wright, E.S., 2018. IDTAXA: a novel approach for accurate taxonomic classification of microbiome sequences. </w:t>
      </w:r>
      <w:r w:rsidRPr="00883FC0">
        <w:rPr>
          <w:rFonts w:ascii="Arial" w:hAnsi="Arial" w:cs="Arial"/>
          <w:sz w:val="24"/>
          <w:szCs w:val="24"/>
        </w:rPr>
        <w:t>Microbiome 6, 140. https://doi.org/10.1186/s40168-018-0521-5</w:t>
      </w:r>
    </w:p>
    <w:p w14:paraId="369BEF31"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Nagy, G., Csivincsik, Á., Sugár, L., Zsolnai, A., 2017. </w:t>
      </w:r>
      <w:r w:rsidRPr="00883FC0">
        <w:rPr>
          <w:rFonts w:ascii="Arial" w:hAnsi="Arial" w:cs="Arial"/>
          <w:sz w:val="24"/>
          <w:szCs w:val="24"/>
          <w:lang w:val="en-US"/>
        </w:rPr>
        <w:t>Benzimidazole resistance within red deer, roe deer and sheep populations within a joint habitat in Hungary. Small Rumin. Res. 149, 172–175. https://doi.org/10.1016/j.smallrumres.2017.02.012</w:t>
      </w:r>
    </w:p>
    <w:p w14:paraId="1734028B"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O’Connor, L.J., Walkden-Brown, S.W., Kahn, L.P., 2006. Ecology of the free-living stages of major trichostrongylid parasites of sheep. Vet. Parasitol. 142, 1–15. https://doi.org/10.1016/j.vetpar.2006.08.035</w:t>
      </w:r>
    </w:p>
    <w:p w14:paraId="41525CD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Oksanen, J., Blanchet, F.G., Friendly, M., Kindt, R., Legendre, P., McGlinn, D., Minchin, P.R., O’Hara, R.B., Simpson, G.L., Solymos, P., Stevens, M.H.H., Szoecs, E., Wagner, H., 2020. vegan : community ecology package.</w:t>
      </w:r>
    </w:p>
    <w:p w14:paraId="0FC1B0B4"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Oliver-Guimerá, A., Martínez-Carrasco, C., Tvarijonaviciute, A., Ruiz de Ybáñez, M.R., Martínez-Guijosa, J., López-Olvera, J.R., Fernández-Aguilar, X., Colom-Cadena, A., Mentaberre, G., Velarde, R., Gassó, D., Garel, M., Rossi, L., Lavín, S., Serrano, E., 2017. The physiological cost of male-biased parasitism in a nearly monomorphic mammal. </w:t>
      </w:r>
      <w:r w:rsidRPr="00883FC0">
        <w:rPr>
          <w:rFonts w:ascii="Arial" w:hAnsi="Arial" w:cs="Arial"/>
          <w:sz w:val="24"/>
          <w:szCs w:val="24"/>
        </w:rPr>
        <w:t>Parasit. Vectors 10, 200. https://doi.org/10.1186/s13071-017-2060-5</w:t>
      </w:r>
    </w:p>
    <w:p w14:paraId="14A4AD21"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rPr>
        <w:t>Ozenda, P., 1985. La végétation de la chaîne alpine dans l’espace montagnard européen. Masson, Paris.</w:t>
      </w:r>
    </w:p>
    <w:p w14:paraId="0C92864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Palcy, C., Silvestre, A., Sauve, C., Cortet, J., Cabaret, J., 2010. </w:t>
      </w:r>
      <w:r w:rsidRPr="00883FC0">
        <w:rPr>
          <w:rFonts w:ascii="Arial" w:hAnsi="Arial" w:cs="Arial"/>
          <w:sz w:val="24"/>
          <w:szCs w:val="24"/>
          <w:lang w:val="en-US"/>
        </w:rPr>
        <w:t xml:space="preserve">Benzimidazole resistance in </w:t>
      </w:r>
      <w:r w:rsidRPr="00883FC0">
        <w:rPr>
          <w:rFonts w:ascii="Arial" w:hAnsi="Arial" w:cs="Arial"/>
          <w:i/>
          <w:iCs/>
          <w:sz w:val="24"/>
          <w:szCs w:val="24"/>
          <w:lang w:val="en-US"/>
        </w:rPr>
        <w:t>Trichostrongylus axei</w:t>
      </w:r>
      <w:r w:rsidRPr="00883FC0">
        <w:rPr>
          <w:rFonts w:ascii="Arial" w:hAnsi="Arial" w:cs="Arial"/>
          <w:sz w:val="24"/>
          <w:szCs w:val="24"/>
          <w:lang w:val="en-US"/>
        </w:rPr>
        <w:t xml:space="preserve"> in sheep: long-term monitoring of affected sheep and genotypic evaluation of the parasite. Vet. J. 183, 68–74. https://doi.org/10.1016/j.tvjl.2008.09.012</w:t>
      </w:r>
    </w:p>
    <w:p w14:paraId="6C355F73"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Papadopoulos, E., Gallidis, E., Ptochos, S., 2012. Anthelmintic resistance in sheep in Europe: a selected review. Vet. Parasitol., Special issue: Update on Parasitic Diseases of Sheep 189, 85–88. https://doi.org/10.1016/j.vetpar.2012.03.036</w:t>
      </w:r>
    </w:p>
    <w:p w14:paraId="569BB7E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Portanier, E., Garel, M., Devillard, S., Maillard, D., Poissant, J., Galan, M., Benabed, S., Poirel, M.-T., Duhayer, J., Itty, C., Bourgoin, G., 2019. Both candidate gene and neutral genetic diversity correlate with parasite resistance in female Mediterranean mouflon. BMC Ecol. 19, 12. https://doi.org/10.1186/s12898-019-0228-x</w:t>
      </w:r>
    </w:p>
    <w:p w14:paraId="2EEC4117"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Posada, D., Crandall, K.A., 1998. modeltest: testing the model of DNA substitution. Bioinformatics 14, 817–818. https://doi.org/10.1093/bioinformatics/14.9.817</w:t>
      </w:r>
    </w:p>
    <w:p w14:paraId="3889CD19"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Queiroz, C., Levy, M., Avramenko, R., Redman, E., Kearns, K., Swain, L., Silas, H., Uehlinger, F., Gilleard, J.S., 2020. The use of ITS-2 rDNA nemabiome metabarcoding to enhance anthelmintic resistance diagnosis and surveillance of ovine gastrointestinal nematodes. Int. J. Parasitol. Drugs Drug Resist. 14, 105–117. https://doi.org/10.1016/j.ijpddr.2020.09.003</w:t>
      </w:r>
    </w:p>
    <w:p w14:paraId="198E0556"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 xml:space="preserve">Ramünke, S., Melville, L., Rinaldi, L., Hertzberg, H., de Waal, T., von Samson-Himmelstjerna, G., Cringoli, G., Mavrot, F., Skuce, P., Krücken, J., Demeler, J., 2016. Benzimidazole resistance survey for </w:t>
      </w:r>
      <w:r w:rsidRPr="00883FC0">
        <w:rPr>
          <w:rFonts w:ascii="Arial" w:hAnsi="Arial" w:cs="Arial"/>
          <w:i/>
          <w:iCs/>
          <w:sz w:val="24"/>
          <w:szCs w:val="24"/>
          <w:lang w:val="en-US"/>
        </w:rPr>
        <w:t>Haemonchus</w:t>
      </w:r>
      <w:r w:rsidRPr="00883FC0">
        <w:rPr>
          <w:rFonts w:ascii="Arial" w:hAnsi="Arial" w:cs="Arial"/>
          <w:sz w:val="24"/>
          <w:szCs w:val="24"/>
          <w:lang w:val="en-US"/>
        </w:rPr>
        <w:t xml:space="preserve">, </w:t>
      </w:r>
      <w:r w:rsidRPr="00883FC0">
        <w:rPr>
          <w:rFonts w:ascii="Arial" w:hAnsi="Arial" w:cs="Arial"/>
          <w:i/>
          <w:iCs/>
          <w:sz w:val="24"/>
          <w:szCs w:val="24"/>
          <w:lang w:val="en-US"/>
        </w:rPr>
        <w:t>Teladorsagia</w:t>
      </w:r>
      <w:r w:rsidRPr="00883FC0">
        <w:rPr>
          <w:rFonts w:ascii="Arial" w:hAnsi="Arial" w:cs="Arial"/>
          <w:sz w:val="24"/>
          <w:szCs w:val="24"/>
          <w:lang w:val="en-US"/>
        </w:rPr>
        <w:t xml:space="preserve"> and </w:t>
      </w:r>
      <w:r w:rsidRPr="00883FC0">
        <w:rPr>
          <w:rFonts w:ascii="Arial" w:hAnsi="Arial" w:cs="Arial"/>
          <w:i/>
          <w:iCs/>
          <w:sz w:val="24"/>
          <w:szCs w:val="24"/>
          <w:lang w:val="en-US"/>
        </w:rPr>
        <w:t>Trichostrongylus</w:t>
      </w:r>
      <w:r w:rsidRPr="00883FC0">
        <w:rPr>
          <w:rFonts w:ascii="Arial" w:hAnsi="Arial" w:cs="Arial"/>
          <w:sz w:val="24"/>
          <w:szCs w:val="24"/>
          <w:lang w:val="en-US"/>
        </w:rPr>
        <w:t xml:space="preserve"> in three European countries using pyrosequencing including the development of new assays for </w:t>
      </w:r>
      <w:r w:rsidRPr="00883FC0">
        <w:rPr>
          <w:rFonts w:ascii="Arial" w:hAnsi="Arial" w:cs="Arial"/>
          <w:i/>
          <w:iCs/>
          <w:sz w:val="24"/>
          <w:szCs w:val="24"/>
          <w:lang w:val="en-US"/>
        </w:rPr>
        <w:t>Trichostrongylus</w:t>
      </w:r>
      <w:r w:rsidRPr="00883FC0">
        <w:rPr>
          <w:rFonts w:ascii="Arial" w:hAnsi="Arial" w:cs="Arial"/>
          <w:sz w:val="24"/>
          <w:szCs w:val="24"/>
          <w:lang w:val="en-US"/>
        </w:rPr>
        <w:t>. Int. J. Parasitol. Drugs Drug Resist. 6, 230–240. https://doi.org/10.1016/j.ijpddr.2016.10.002</w:t>
      </w:r>
    </w:p>
    <w:p w14:paraId="786F7221"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Raynaud, J.-P., William, G., Brunault, G., 1970. </w:t>
      </w:r>
      <w:r w:rsidRPr="00883FC0">
        <w:rPr>
          <w:rFonts w:ascii="Arial" w:hAnsi="Arial" w:cs="Arial"/>
          <w:sz w:val="24"/>
          <w:szCs w:val="24"/>
        </w:rPr>
        <w:t>Etude de l’efficacité d’une technique de coproscopie quantitative pour le diagnostic de routine et le contrôle des infestations parasitaires des bovins, ovins, équins et porcins. Ann. Parasitol. Hum. Comparée 45, 321–342. https://doi.org/10.1051/parasite/1970453321</w:t>
      </w:r>
    </w:p>
    <w:p w14:paraId="667A5D8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Redman, E., Queiroz, C., Bartley, D.J., Levy, M., Avramenko, R.W., Gilleard, J.S., 2019. </w:t>
      </w:r>
      <w:r w:rsidRPr="00883FC0">
        <w:rPr>
          <w:rFonts w:ascii="Arial" w:hAnsi="Arial" w:cs="Arial"/>
          <w:sz w:val="24"/>
          <w:szCs w:val="24"/>
          <w:lang w:val="en-US"/>
        </w:rPr>
        <w:t>Validation of ITS-2 rDNA nemabiome sequencing for ovine gastrointestinal nematodes and its application to a large scale survey of UK sheep farms. Vet. Parasitol. 275, 108933. https://doi.org/10.1016/j.vetpar.2019.108933</w:t>
      </w:r>
    </w:p>
    <w:p w14:paraId="7F635337"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Redman, E., Whitelaw, F., Tait, A., Burgess, C., Bartley, Y., Skuce, P.J., Jackson, F., Gilleard, J.S., 2015. The emergence of resistance to the benzimidazole anthlemintics in parasitic nematodes of livestock is characterised by multiple </w:t>
      </w:r>
      <w:r w:rsidRPr="00883FC0">
        <w:rPr>
          <w:rFonts w:ascii="Arial" w:hAnsi="Arial" w:cs="Arial"/>
          <w:sz w:val="24"/>
          <w:szCs w:val="24"/>
          <w:lang w:val="en-US"/>
        </w:rPr>
        <w:lastRenderedPageBreak/>
        <w:t xml:space="preserve">independent hard and soft selective sweeps. </w:t>
      </w:r>
      <w:r w:rsidRPr="00883FC0">
        <w:rPr>
          <w:rFonts w:ascii="Arial" w:hAnsi="Arial" w:cs="Arial"/>
          <w:sz w:val="24"/>
          <w:szCs w:val="24"/>
        </w:rPr>
        <w:t>PLoS Negl. Trop. Dis. 9, e0003494. https://doi.org/10.1371/journal.pntd.0003494</w:t>
      </w:r>
    </w:p>
    <w:p w14:paraId="207C6E40"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Richomme, C., Gauthier, D., Fromont, E., 2006. </w:t>
      </w:r>
      <w:r w:rsidRPr="00883FC0">
        <w:rPr>
          <w:rFonts w:ascii="Arial" w:hAnsi="Arial" w:cs="Arial"/>
          <w:sz w:val="24"/>
          <w:szCs w:val="24"/>
          <w:lang w:val="en-US"/>
        </w:rPr>
        <w:t>Contact rates and exposure to inter-species disease transmission in mountain ungulates. Epidemiol. Infect. 134, 21–30. https://doi.org/10.1017/S0950268805004693</w:t>
      </w:r>
    </w:p>
    <w:p w14:paraId="609E5E19"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Roeber, F., Jex, A.R., Gasser, R.B., 2013. Impact of gastrointestinal parasitic nematodes of sheep, and the role of advanced molecular tools for exploring epidemiology and drug resistance - an Australian perspective. Parasit. Vectors 6, 153. https://doi.org/10.1186/1756-3305-6-153</w:t>
      </w:r>
    </w:p>
    <w:p w14:paraId="368CBE8C"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Rose, H., Rinaldi, L., Bosco, A., Mavrot, F., Waal, T. de, Skuce, P., Charlier, J., Torgerson, P.R., Hertzberg, H., Hendrickx, G., Vercruysse, J., Morgan, E.R., 2015. Widespread anthelmintic resistance in European farmed ruminants: a systematic review. Vet. Rec. 176, 546–546. https://doi.org/10.1136/vr.102982</w:t>
      </w:r>
    </w:p>
    <w:p w14:paraId="5076D60D"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Rose Vineer, H., Morgan, E.R., Hertzberg, H., Bartley, D.J., Bosco, A., Charlier, J., Chartier, C., Claerebout, E., de Waal, T., Hendrickx, G., Hinney, B., Höglund, J., Ježek, J., Kašný, M., Keane, O.M., Martínez-Valladares, M., Mateus, T.L., McIntyre, J., Mickiewicz, M., Munoz, A.M., Phythian, C.J., Ploeger, H.W., Rataj, A.V., Skuce, P.J., Simin, S., Sotiraki, S., Spinu, M., Stuen, S., Thamsborg, S.M., Vadlejch, J., Varady, M., von Samson-Himmelstjerna, G., Rinaldi, L., 2020. Increasing importance of anthelmintic resistance in European livestock: creation and meta-analysis of an open database. </w:t>
      </w:r>
      <w:r w:rsidRPr="00883FC0">
        <w:rPr>
          <w:rFonts w:ascii="Arial" w:hAnsi="Arial" w:cs="Arial"/>
          <w:sz w:val="24"/>
          <w:szCs w:val="24"/>
        </w:rPr>
        <w:t>Parasite 27, 69. https://doi.org/10.1051/parasite/2020062</w:t>
      </w:r>
    </w:p>
    <w:p w14:paraId="79FE9EB7"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rPr>
        <w:t xml:space="preserve">Rossi, L., Tizzani, P., Rambozzi, L., Moroni, B., Meneguz, P.G., 2019. </w:t>
      </w:r>
      <w:r w:rsidRPr="00883FC0">
        <w:rPr>
          <w:rFonts w:ascii="Arial" w:hAnsi="Arial" w:cs="Arial"/>
          <w:sz w:val="24"/>
          <w:szCs w:val="24"/>
          <w:lang w:val="en-US"/>
        </w:rPr>
        <w:t>Sanitary emergencies at the wild/domestic caprines interface in Europe. Animals 9, 922. https://doi.org/10.3390/ani9110922</w:t>
      </w:r>
    </w:p>
    <w:p w14:paraId="381BC532"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Ryser-Degiorgis, M.-P., Ingold, P., Tenhu, H., Less, A.M.T., Ryser, A., Giacometti, M., 2002. Encounters between Alpine ibex, Alpine chamois and domestic sheep in the Swiss Alps. Hystrix Ital. J. Mammal. 13. https://doi.org/10.4404/hystrix-13.1-2-4180</w:t>
      </w:r>
    </w:p>
    <w:p w14:paraId="1C68EC9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Sargison, N.D., Wilson, D.J., Bartley, D.J., Penny, C.D., Jackson, F., 2007. Haemonchosis and teladorsagiosis in a Scottish sheep flock putatively associated with the overwintering of hypobiotic fourth stage larvae. Vet. Parasitol. 147, 326–331. https://doi.org/10.1016/j.vetpar.2007.04.011</w:t>
      </w:r>
    </w:p>
    <w:p w14:paraId="004996D5"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Schliep, K.P., 2011. phangorn: phylogenetic analysis in R. Bioinformatics 27, 592–593. https://doi.org/10.1093/bioinformatics/btq706</w:t>
      </w:r>
    </w:p>
    <w:p w14:paraId="222C166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Taberlet, P., Bonin, A., Zinger, L., Coissac, E., 2018. Environmental DNA: for biodiversity research and monitoring. Oxford University Press, Oxford, UK.</w:t>
      </w:r>
    </w:p>
    <w:p w14:paraId="10649A5B"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Taylor, M.A., Coop, R.L., Wall, R.L., 2015. Veterinary Parasitology, 4th ed. ed. Wiley Blackwell, Chichester.</w:t>
      </w:r>
    </w:p>
    <w:p w14:paraId="7E825F9C"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Tompkins, D.M., Dunn, A.M., Smith, M.J., Telfer, S., 2011. Wildlife diseases: from individuals to ecosystems. J. Anim. Ecol. 80, 19–38. https://doi.org/10.1111/j.1365-2656.2010.01742.x</w:t>
      </w:r>
    </w:p>
    <w:p w14:paraId="6A9AD99B"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Utaaker, K.S., Ytrehus, B., Davey, M.L., Fossøy, F., Davidson, R.K., Miller, A.L., Robertsen, P.-A., Strand, O., Rauset, G.R., 2023. Parasite spillover from domestic sheep to wild reindeer—The role of salt licks. Pathogens 12, 186. https://doi.org/10.3390/pathogens12020186</w:t>
      </w:r>
    </w:p>
    <w:p w14:paraId="519B0BE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van Wyk, J.A., Mayhew, E., 2013. Morphological identification of parasitic nematode infective larvae of small ruminants and cattle: a practical lab guide. Onderstepoort J. Vet. Res. 80, 00–00.</w:t>
      </w:r>
    </w:p>
    <w:p w14:paraId="4424EC78"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Vercruysse, J., Charlier, J., Dijk, J.V., Morgan, E.R., Geary, T., Samson-Himmelstjerna, G. von, Claerebout, E., 2018. Control of helminth ruminant infections by 2030. Parasitology 145, 1655–1664. https://doi.org/10.1017/S003118201700227X</w:t>
      </w:r>
    </w:p>
    <w:p w14:paraId="579096FA"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Viana, M., Mancy, R., Biek, R., Cleaveland, S., Cross, P.C., Lloyd-Smith, J.O., Haydon, D.T., 2014. Assembling evidence for identifying reservoirs of infection. Trends Ecol. Evol. 29, 270–279. https://doi.org/10.1016/j.tree.2014.03.002</w:t>
      </w:r>
    </w:p>
    <w:p w14:paraId="60FCD76D"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Walker, J.G., Morgan, E.R., 2014. Generalists at the interface: nematode transmission between wild and domestic ungulates. Int. J. Parasitol. Parasites Wildl. 3, 242–250. https://doi.org/10.1016/j.ijppaw.2014.08.001</w:t>
      </w:r>
    </w:p>
    <w:p w14:paraId="5EE14BE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Wang, Q., Garrity, G.M., Tiedje, J.M., Cole, J.R., 2007. Naïve bayesian classifier for rapid assignment of rRNA sequences into the new bacterial taxonomy. Appl. Environ. Microbiol. 73, 5261–5267. https://doi.org/10.1128/AEM.00062-07</w:t>
      </w:r>
    </w:p>
    <w:p w14:paraId="042AF9C7"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Whittaker, J.H., Carlson, S.A., Jones, D.E., Brewer, M.T., 2017. Molecular mechanisms for anthelmintic resistance in strongyle nematode parasites of veterinary importance. J. Vet. Pharmacol. Ther. 40, 105–115. https://doi.org/10.1111/jvp.12330</w:t>
      </w:r>
    </w:p>
    <w:p w14:paraId="7FBCF49F"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lastRenderedPageBreak/>
        <w:t>Workentine, M.L., Chen, R., Zhu, S., Gavriliuc, S., Shaw, N., Rijke, J. de, Redman, E.M., Avramenko, R.W., Wit, J., Poissant, J., Gilleard, J.S., 2020. A database for ITS2 sequences from nematodes. BMC Genet. 21, 74. https://doi.org/10.1186/s12863-020-00880-0</w:t>
      </w:r>
    </w:p>
    <w:p w14:paraId="0F0173D9" w14:textId="77777777" w:rsidR="00A36BEF" w:rsidRPr="00883FC0" w:rsidRDefault="00A36BEF" w:rsidP="00A36BEF">
      <w:pPr>
        <w:pStyle w:val="Bibliographie"/>
        <w:spacing w:line="360" w:lineRule="auto"/>
        <w:jc w:val="both"/>
        <w:rPr>
          <w:rFonts w:ascii="Arial" w:hAnsi="Arial" w:cs="Arial"/>
          <w:sz w:val="24"/>
          <w:szCs w:val="24"/>
          <w:lang w:val="en-US"/>
        </w:rPr>
      </w:pPr>
      <w:r w:rsidRPr="00883FC0">
        <w:rPr>
          <w:rFonts w:ascii="Arial" w:hAnsi="Arial" w:cs="Arial"/>
          <w:sz w:val="24"/>
          <w:szCs w:val="24"/>
          <w:lang w:val="en-US"/>
        </w:rPr>
        <w:t>Wright, E.S., 2016. Using DECIPHER v2.0 to Analyze Big Biological Sequence Data in R. R J. 8, 352–359.</w:t>
      </w:r>
    </w:p>
    <w:p w14:paraId="45C5F784" w14:textId="77777777" w:rsidR="00A36BEF" w:rsidRPr="00883FC0" w:rsidRDefault="00A36BEF" w:rsidP="00A36BEF">
      <w:pPr>
        <w:pStyle w:val="Bibliographie"/>
        <w:spacing w:line="360" w:lineRule="auto"/>
        <w:jc w:val="both"/>
        <w:rPr>
          <w:rFonts w:ascii="Arial" w:hAnsi="Arial" w:cs="Arial"/>
          <w:sz w:val="24"/>
          <w:szCs w:val="24"/>
        </w:rPr>
      </w:pPr>
      <w:r w:rsidRPr="00883FC0">
        <w:rPr>
          <w:rFonts w:ascii="Arial" w:hAnsi="Arial" w:cs="Arial"/>
          <w:sz w:val="24"/>
          <w:szCs w:val="24"/>
          <w:lang w:val="en-US"/>
        </w:rPr>
        <w:t xml:space="preserve">Zaffaroni, E., Teresa Manfredi, M., Citterio, C., Sala, M., Piccolo, G., Lanfranchi, P., 2000. Host specificity of abomasal nematodes in free ranging alpine ruminants. </w:t>
      </w:r>
      <w:r w:rsidRPr="00883FC0">
        <w:rPr>
          <w:rFonts w:ascii="Arial" w:hAnsi="Arial" w:cs="Arial"/>
          <w:sz w:val="24"/>
          <w:szCs w:val="24"/>
        </w:rPr>
        <w:t>Vet. Parasitol. 90, 221–230. https://doi.org/10.1016/S0304-4017(00)00240-5</w:t>
      </w:r>
    </w:p>
    <w:p w14:paraId="35702FB0" w14:textId="56B558D2" w:rsidR="00193710" w:rsidRPr="00A36BEF" w:rsidRDefault="00B63843" w:rsidP="00A36BEF">
      <w:pPr>
        <w:spacing w:after="0" w:line="360" w:lineRule="auto"/>
        <w:jc w:val="both"/>
        <w:rPr>
          <w:rFonts w:ascii="Arial" w:hAnsi="Arial" w:cs="Arial"/>
          <w:sz w:val="24"/>
          <w:szCs w:val="24"/>
          <w:lang w:val="en-GB"/>
        </w:rPr>
      </w:pPr>
      <w:r w:rsidRPr="00883FC0">
        <w:rPr>
          <w:rFonts w:ascii="Arial" w:hAnsi="Arial" w:cs="Arial"/>
          <w:sz w:val="24"/>
          <w:szCs w:val="24"/>
          <w:lang w:val="en-GB"/>
        </w:rPr>
        <w:fldChar w:fldCharType="end"/>
      </w:r>
    </w:p>
    <w:sectPr w:rsidR="00193710" w:rsidRPr="00A36BEF" w:rsidSect="00991FDE">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31AD"/>
    <w:multiLevelType w:val="multilevel"/>
    <w:tmpl w:val="B7CEFFF0"/>
    <w:lvl w:ilvl="0">
      <w:start w:val="1"/>
      <w:numFmt w:val="decimal"/>
      <w:lvlText w:val="%1."/>
      <w:lvlJc w:val="left"/>
      <w:pPr>
        <w:ind w:left="3047" w:hanging="495"/>
      </w:pPr>
      <w:rPr>
        <w:rFonts w:asciiTheme="majorHAnsi" w:eastAsiaTheme="majorEastAsia" w:hAnsiTheme="majorHAnsi" w:cstheme="majorBidi"/>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352" w:hanging="1800"/>
      </w:pPr>
      <w:rPr>
        <w:rFonts w:hint="default"/>
      </w:rPr>
    </w:lvl>
    <w:lvl w:ilvl="6">
      <w:start w:val="1"/>
      <w:numFmt w:val="decimal"/>
      <w:lvlText w:val="%1.%2-%3.%4.%5.%6.%7."/>
      <w:lvlJc w:val="left"/>
      <w:pPr>
        <w:ind w:left="4352" w:hanging="1800"/>
      </w:pPr>
      <w:rPr>
        <w:rFonts w:hint="default"/>
      </w:rPr>
    </w:lvl>
    <w:lvl w:ilvl="7">
      <w:start w:val="1"/>
      <w:numFmt w:val="decimal"/>
      <w:lvlText w:val="%1.%2-%3.%4.%5.%6.%7.%8."/>
      <w:lvlJc w:val="left"/>
      <w:pPr>
        <w:ind w:left="4712" w:hanging="2160"/>
      </w:pPr>
      <w:rPr>
        <w:rFonts w:hint="default"/>
      </w:rPr>
    </w:lvl>
    <w:lvl w:ilvl="8">
      <w:start w:val="1"/>
      <w:numFmt w:val="decimal"/>
      <w:lvlText w:val="%1.%2-%3.%4.%5.%6.%7.%8.%9."/>
      <w:lvlJc w:val="left"/>
      <w:pPr>
        <w:ind w:left="4712" w:hanging="2160"/>
      </w:pPr>
      <w:rPr>
        <w:rFonts w:hint="default"/>
      </w:rPr>
    </w:lvl>
  </w:abstractNum>
  <w:abstractNum w:abstractNumId="1" w15:restartNumberingAfterBreak="0">
    <w:nsid w:val="03A75660"/>
    <w:multiLevelType w:val="hybridMultilevel"/>
    <w:tmpl w:val="51C20C96"/>
    <w:lvl w:ilvl="0" w:tplc="666A61C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F0171"/>
    <w:multiLevelType w:val="hybridMultilevel"/>
    <w:tmpl w:val="65945C6A"/>
    <w:lvl w:ilvl="0" w:tplc="1F02DB8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E21C9B"/>
    <w:multiLevelType w:val="multilevel"/>
    <w:tmpl w:val="EFB0EC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83C0557"/>
    <w:multiLevelType w:val="hybridMultilevel"/>
    <w:tmpl w:val="11A67B6A"/>
    <w:lvl w:ilvl="0" w:tplc="980EEE00">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6063BE"/>
    <w:multiLevelType w:val="multilevel"/>
    <w:tmpl w:val="5D5E6AD2"/>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EC39F5"/>
    <w:multiLevelType w:val="multilevel"/>
    <w:tmpl w:val="65E225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694E87"/>
    <w:multiLevelType w:val="multilevel"/>
    <w:tmpl w:val="7172938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1080" w:hanging="108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A23DF0"/>
    <w:multiLevelType w:val="multilevel"/>
    <w:tmpl w:val="62A4A0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234415C5"/>
    <w:multiLevelType w:val="multilevel"/>
    <w:tmpl w:val="4DC049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249D5CF9"/>
    <w:multiLevelType w:val="multilevel"/>
    <w:tmpl w:val="5D5E6AD2"/>
    <w:lvl w:ilvl="0">
      <w:start w:val="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573738"/>
    <w:multiLevelType w:val="multilevel"/>
    <w:tmpl w:val="295E5BB2"/>
    <w:lvl w:ilvl="0">
      <w:start w:val="5"/>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7105447"/>
    <w:multiLevelType w:val="multilevel"/>
    <w:tmpl w:val="5D5E6AD2"/>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1038BC"/>
    <w:multiLevelType w:val="multilevel"/>
    <w:tmpl w:val="921EF40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1E516D"/>
    <w:multiLevelType w:val="multilevel"/>
    <w:tmpl w:val="2B02489C"/>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FB61B10"/>
    <w:multiLevelType w:val="multilevel"/>
    <w:tmpl w:val="EE5CE75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C2D4DE1"/>
    <w:multiLevelType w:val="hybridMultilevel"/>
    <w:tmpl w:val="1BE8E328"/>
    <w:lvl w:ilvl="0" w:tplc="A6BCFAA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A01389"/>
    <w:multiLevelType w:val="hybridMultilevel"/>
    <w:tmpl w:val="2FD68A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264E8E"/>
    <w:multiLevelType w:val="hybridMultilevel"/>
    <w:tmpl w:val="9E0EF7E6"/>
    <w:lvl w:ilvl="0" w:tplc="E3A4A0C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E90A9B"/>
    <w:multiLevelType w:val="multilevel"/>
    <w:tmpl w:val="9528C5E6"/>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9F21358"/>
    <w:multiLevelType w:val="hybridMultilevel"/>
    <w:tmpl w:val="4580D24E"/>
    <w:lvl w:ilvl="0" w:tplc="E4D09E8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4808B8"/>
    <w:multiLevelType w:val="multilevel"/>
    <w:tmpl w:val="5D5E6AD2"/>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2C93F0F"/>
    <w:multiLevelType w:val="multilevel"/>
    <w:tmpl w:val="D6007EFC"/>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32B668A"/>
    <w:multiLevelType w:val="hybridMultilevel"/>
    <w:tmpl w:val="5112B63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54290359"/>
    <w:multiLevelType w:val="multilevel"/>
    <w:tmpl w:val="47B20D72"/>
    <w:lvl w:ilvl="0">
      <w:start w:val="1"/>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4B90B64"/>
    <w:multiLevelType w:val="hybridMultilevel"/>
    <w:tmpl w:val="76BA3F1C"/>
    <w:lvl w:ilvl="0" w:tplc="025AA4B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96017D"/>
    <w:multiLevelType w:val="hybridMultilevel"/>
    <w:tmpl w:val="9020BEB2"/>
    <w:lvl w:ilvl="0" w:tplc="7A407726">
      <w:start w:val="1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6D7109"/>
    <w:multiLevelType w:val="hybridMultilevel"/>
    <w:tmpl w:val="35F0B784"/>
    <w:lvl w:ilvl="0" w:tplc="36166BF6">
      <w:start w:val="1"/>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A7792F"/>
    <w:multiLevelType w:val="hybridMultilevel"/>
    <w:tmpl w:val="A9606EBA"/>
    <w:lvl w:ilvl="0" w:tplc="475E5CA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552539"/>
    <w:multiLevelType w:val="hybridMultilevel"/>
    <w:tmpl w:val="AD9816E4"/>
    <w:lvl w:ilvl="0" w:tplc="BC8002B8">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5023A3"/>
    <w:multiLevelType w:val="multilevel"/>
    <w:tmpl w:val="EE5CE754"/>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8F0512D"/>
    <w:multiLevelType w:val="multilevel"/>
    <w:tmpl w:val="F1168C94"/>
    <w:lvl w:ilvl="0">
      <w:start w:val="5"/>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A751AF0"/>
    <w:multiLevelType w:val="multilevel"/>
    <w:tmpl w:val="3FA4D0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7E943B4E"/>
    <w:multiLevelType w:val="multilevel"/>
    <w:tmpl w:val="D9226FC4"/>
    <w:lvl w:ilvl="0">
      <w:start w:val="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FFA69CB"/>
    <w:multiLevelType w:val="hybridMultilevel"/>
    <w:tmpl w:val="E6E8150C"/>
    <w:lvl w:ilvl="0" w:tplc="67907598">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38435021">
    <w:abstractNumId w:val="7"/>
  </w:num>
  <w:num w:numId="2" w16cid:durableId="1890341037">
    <w:abstractNumId w:val="8"/>
  </w:num>
  <w:num w:numId="3" w16cid:durableId="372313608">
    <w:abstractNumId w:val="19"/>
  </w:num>
  <w:num w:numId="4" w16cid:durableId="1052851606">
    <w:abstractNumId w:val="0"/>
  </w:num>
  <w:num w:numId="5" w16cid:durableId="320231561">
    <w:abstractNumId w:val="1"/>
  </w:num>
  <w:num w:numId="6" w16cid:durableId="25564325">
    <w:abstractNumId w:val="25"/>
  </w:num>
  <w:num w:numId="7" w16cid:durableId="1071928141">
    <w:abstractNumId w:val="32"/>
  </w:num>
  <w:num w:numId="8" w16cid:durableId="2020690356">
    <w:abstractNumId w:val="14"/>
  </w:num>
  <w:num w:numId="9" w16cid:durableId="896746205">
    <w:abstractNumId w:val="6"/>
  </w:num>
  <w:num w:numId="10" w16cid:durableId="178081854">
    <w:abstractNumId w:val="22"/>
  </w:num>
  <w:num w:numId="11" w16cid:durableId="1161238729">
    <w:abstractNumId w:val="33"/>
  </w:num>
  <w:num w:numId="12" w16cid:durableId="1323630616">
    <w:abstractNumId w:val="4"/>
  </w:num>
  <w:num w:numId="13" w16cid:durableId="1915777574">
    <w:abstractNumId w:val="9"/>
  </w:num>
  <w:num w:numId="14" w16cid:durableId="1949657958">
    <w:abstractNumId w:val="21"/>
  </w:num>
  <w:num w:numId="15" w16cid:durableId="521171749">
    <w:abstractNumId w:val="10"/>
  </w:num>
  <w:num w:numId="16" w16cid:durableId="519467022">
    <w:abstractNumId w:val="34"/>
  </w:num>
  <w:num w:numId="17" w16cid:durableId="127210657">
    <w:abstractNumId w:val="29"/>
  </w:num>
  <w:num w:numId="18" w16cid:durableId="1405758408">
    <w:abstractNumId w:val="27"/>
  </w:num>
  <w:num w:numId="19" w16cid:durableId="1987542378">
    <w:abstractNumId w:val="23"/>
  </w:num>
  <w:num w:numId="20" w16cid:durableId="233976041">
    <w:abstractNumId w:val="15"/>
  </w:num>
  <w:num w:numId="21" w16cid:durableId="1747413344">
    <w:abstractNumId w:val="30"/>
  </w:num>
  <w:num w:numId="22" w16cid:durableId="1275865935">
    <w:abstractNumId w:val="5"/>
  </w:num>
  <w:num w:numId="23" w16cid:durableId="1972323231">
    <w:abstractNumId w:val="12"/>
  </w:num>
  <w:num w:numId="24" w16cid:durableId="1354768915">
    <w:abstractNumId w:val="3"/>
  </w:num>
  <w:num w:numId="25" w16cid:durableId="131561547">
    <w:abstractNumId w:val="18"/>
  </w:num>
  <w:num w:numId="26" w16cid:durableId="224269296">
    <w:abstractNumId w:val="17"/>
  </w:num>
  <w:num w:numId="27" w16cid:durableId="1284459856">
    <w:abstractNumId w:val="11"/>
  </w:num>
  <w:num w:numId="28" w16cid:durableId="1924102728">
    <w:abstractNumId w:val="31"/>
  </w:num>
  <w:num w:numId="29" w16cid:durableId="1957567058">
    <w:abstractNumId w:val="28"/>
  </w:num>
  <w:num w:numId="30" w16cid:durableId="1931620244">
    <w:abstractNumId w:val="13"/>
  </w:num>
  <w:num w:numId="31" w16cid:durableId="32929712">
    <w:abstractNumId w:val="24"/>
  </w:num>
  <w:num w:numId="32" w16cid:durableId="994138822">
    <w:abstractNumId w:val="26"/>
  </w:num>
  <w:num w:numId="33" w16cid:durableId="776875139">
    <w:abstractNumId w:val="2"/>
  </w:num>
  <w:num w:numId="34" w16cid:durableId="1102872287">
    <w:abstractNumId w:val="16"/>
  </w:num>
  <w:num w:numId="35" w16cid:durableId="1473595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9C1"/>
    <w:rsid w:val="00004115"/>
    <w:rsid w:val="00014670"/>
    <w:rsid w:val="00020FAA"/>
    <w:rsid w:val="00027094"/>
    <w:rsid w:val="00033D3D"/>
    <w:rsid w:val="00041A2F"/>
    <w:rsid w:val="00045BC5"/>
    <w:rsid w:val="000537E8"/>
    <w:rsid w:val="00074D2E"/>
    <w:rsid w:val="00077AD9"/>
    <w:rsid w:val="000808C2"/>
    <w:rsid w:val="000875D4"/>
    <w:rsid w:val="00095479"/>
    <w:rsid w:val="000A7D45"/>
    <w:rsid w:val="000C3B05"/>
    <w:rsid w:val="000C76CA"/>
    <w:rsid w:val="000D0899"/>
    <w:rsid w:val="000D2AEA"/>
    <w:rsid w:val="000D4753"/>
    <w:rsid w:val="000D5A40"/>
    <w:rsid w:val="000F249A"/>
    <w:rsid w:val="00102B5D"/>
    <w:rsid w:val="00106653"/>
    <w:rsid w:val="00111B80"/>
    <w:rsid w:val="00115EB7"/>
    <w:rsid w:val="0011640C"/>
    <w:rsid w:val="00116D48"/>
    <w:rsid w:val="001253B6"/>
    <w:rsid w:val="0013180C"/>
    <w:rsid w:val="0013594E"/>
    <w:rsid w:val="00141A7A"/>
    <w:rsid w:val="001452FC"/>
    <w:rsid w:val="00151DD8"/>
    <w:rsid w:val="00152911"/>
    <w:rsid w:val="00192CFD"/>
    <w:rsid w:val="00193710"/>
    <w:rsid w:val="001B5371"/>
    <w:rsid w:val="001C5C07"/>
    <w:rsid w:val="001D1E39"/>
    <w:rsid w:val="001E1EA8"/>
    <w:rsid w:val="002016C5"/>
    <w:rsid w:val="002017A0"/>
    <w:rsid w:val="00203020"/>
    <w:rsid w:val="00205147"/>
    <w:rsid w:val="002237AC"/>
    <w:rsid w:val="002323AA"/>
    <w:rsid w:val="0024432B"/>
    <w:rsid w:val="0024743B"/>
    <w:rsid w:val="00272FF1"/>
    <w:rsid w:val="00274888"/>
    <w:rsid w:val="00281337"/>
    <w:rsid w:val="00283A67"/>
    <w:rsid w:val="00285EC4"/>
    <w:rsid w:val="00286F0B"/>
    <w:rsid w:val="00291B07"/>
    <w:rsid w:val="002951A9"/>
    <w:rsid w:val="00297CA8"/>
    <w:rsid w:val="002A5340"/>
    <w:rsid w:val="002B5C71"/>
    <w:rsid w:val="002C2476"/>
    <w:rsid w:val="002C576C"/>
    <w:rsid w:val="002D0E01"/>
    <w:rsid w:val="002D10A7"/>
    <w:rsid w:val="002E17E3"/>
    <w:rsid w:val="002E2B71"/>
    <w:rsid w:val="002E5227"/>
    <w:rsid w:val="002F6EED"/>
    <w:rsid w:val="00301008"/>
    <w:rsid w:val="00304F96"/>
    <w:rsid w:val="00315D8D"/>
    <w:rsid w:val="00317797"/>
    <w:rsid w:val="00322E88"/>
    <w:rsid w:val="00325F10"/>
    <w:rsid w:val="0032613C"/>
    <w:rsid w:val="00332500"/>
    <w:rsid w:val="0033579C"/>
    <w:rsid w:val="0034634A"/>
    <w:rsid w:val="003548BF"/>
    <w:rsid w:val="00360335"/>
    <w:rsid w:val="00363B2B"/>
    <w:rsid w:val="00364BAA"/>
    <w:rsid w:val="00374E5A"/>
    <w:rsid w:val="00397857"/>
    <w:rsid w:val="003A2426"/>
    <w:rsid w:val="003B2298"/>
    <w:rsid w:val="003B3674"/>
    <w:rsid w:val="003C02D4"/>
    <w:rsid w:val="003C056D"/>
    <w:rsid w:val="003D53A6"/>
    <w:rsid w:val="003E01B7"/>
    <w:rsid w:val="003E1B21"/>
    <w:rsid w:val="003E2173"/>
    <w:rsid w:val="003E3B1F"/>
    <w:rsid w:val="003F36B8"/>
    <w:rsid w:val="004023A9"/>
    <w:rsid w:val="004024EA"/>
    <w:rsid w:val="00404F03"/>
    <w:rsid w:val="00405FEC"/>
    <w:rsid w:val="00410D19"/>
    <w:rsid w:val="0041136E"/>
    <w:rsid w:val="004149D7"/>
    <w:rsid w:val="004217D3"/>
    <w:rsid w:val="00432E86"/>
    <w:rsid w:val="00440359"/>
    <w:rsid w:val="00447831"/>
    <w:rsid w:val="00465377"/>
    <w:rsid w:val="00485650"/>
    <w:rsid w:val="00486E4B"/>
    <w:rsid w:val="004946A7"/>
    <w:rsid w:val="00497E57"/>
    <w:rsid w:val="004B2730"/>
    <w:rsid w:val="004B566F"/>
    <w:rsid w:val="004C14B1"/>
    <w:rsid w:val="004C7407"/>
    <w:rsid w:val="004D075B"/>
    <w:rsid w:val="004E2881"/>
    <w:rsid w:val="004F2856"/>
    <w:rsid w:val="004F5C50"/>
    <w:rsid w:val="005002AF"/>
    <w:rsid w:val="00500AE3"/>
    <w:rsid w:val="00521D6E"/>
    <w:rsid w:val="00525287"/>
    <w:rsid w:val="005258E3"/>
    <w:rsid w:val="00530C3D"/>
    <w:rsid w:val="00537425"/>
    <w:rsid w:val="0054110F"/>
    <w:rsid w:val="0054738B"/>
    <w:rsid w:val="00547B57"/>
    <w:rsid w:val="0055134E"/>
    <w:rsid w:val="00556611"/>
    <w:rsid w:val="005668A5"/>
    <w:rsid w:val="00577DBD"/>
    <w:rsid w:val="00584375"/>
    <w:rsid w:val="005A0760"/>
    <w:rsid w:val="005A622C"/>
    <w:rsid w:val="005B4C2E"/>
    <w:rsid w:val="005C7446"/>
    <w:rsid w:val="005D18C6"/>
    <w:rsid w:val="005D6D4E"/>
    <w:rsid w:val="005E069C"/>
    <w:rsid w:val="005E1452"/>
    <w:rsid w:val="005E4AAD"/>
    <w:rsid w:val="005E7CD6"/>
    <w:rsid w:val="005E7FD9"/>
    <w:rsid w:val="005F1A5C"/>
    <w:rsid w:val="005F39FB"/>
    <w:rsid w:val="005F5967"/>
    <w:rsid w:val="005F6FCA"/>
    <w:rsid w:val="005F7197"/>
    <w:rsid w:val="00600E21"/>
    <w:rsid w:val="00601343"/>
    <w:rsid w:val="00613891"/>
    <w:rsid w:val="0061544D"/>
    <w:rsid w:val="00632910"/>
    <w:rsid w:val="00634F5D"/>
    <w:rsid w:val="00635107"/>
    <w:rsid w:val="00643AC4"/>
    <w:rsid w:val="00645160"/>
    <w:rsid w:val="006463F4"/>
    <w:rsid w:val="00647002"/>
    <w:rsid w:val="00647E14"/>
    <w:rsid w:val="00651344"/>
    <w:rsid w:val="00657BD6"/>
    <w:rsid w:val="00685709"/>
    <w:rsid w:val="00685A7C"/>
    <w:rsid w:val="00693DAF"/>
    <w:rsid w:val="006A5507"/>
    <w:rsid w:val="006B1AA2"/>
    <w:rsid w:val="006B3175"/>
    <w:rsid w:val="006B61CA"/>
    <w:rsid w:val="006C095A"/>
    <w:rsid w:val="006C2C0B"/>
    <w:rsid w:val="006C6E35"/>
    <w:rsid w:val="006F4E47"/>
    <w:rsid w:val="006F5D22"/>
    <w:rsid w:val="007016D5"/>
    <w:rsid w:val="007018E6"/>
    <w:rsid w:val="0071434E"/>
    <w:rsid w:val="00723847"/>
    <w:rsid w:val="00723ACB"/>
    <w:rsid w:val="007459B3"/>
    <w:rsid w:val="00753D48"/>
    <w:rsid w:val="007902A8"/>
    <w:rsid w:val="007B7372"/>
    <w:rsid w:val="007B7385"/>
    <w:rsid w:val="007C0A2B"/>
    <w:rsid w:val="007C54F3"/>
    <w:rsid w:val="007C7D21"/>
    <w:rsid w:val="007D07A6"/>
    <w:rsid w:val="007F4E7D"/>
    <w:rsid w:val="007F5C80"/>
    <w:rsid w:val="007F747A"/>
    <w:rsid w:val="00801F11"/>
    <w:rsid w:val="008150EF"/>
    <w:rsid w:val="008240A8"/>
    <w:rsid w:val="008406CB"/>
    <w:rsid w:val="0084666A"/>
    <w:rsid w:val="00846DC6"/>
    <w:rsid w:val="0085529F"/>
    <w:rsid w:val="0085598D"/>
    <w:rsid w:val="00856F42"/>
    <w:rsid w:val="0086066C"/>
    <w:rsid w:val="0086555D"/>
    <w:rsid w:val="00870D7F"/>
    <w:rsid w:val="00871204"/>
    <w:rsid w:val="00877655"/>
    <w:rsid w:val="00880180"/>
    <w:rsid w:val="00883FC0"/>
    <w:rsid w:val="00884A89"/>
    <w:rsid w:val="00894D4F"/>
    <w:rsid w:val="00896897"/>
    <w:rsid w:val="008A24DB"/>
    <w:rsid w:val="008A49E7"/>
    <w:rsid w:val="008C1A01"/>
    <w:rsid w:val="008C662A"/>
    <w:rsid w:val="008D486E"/>
    <w:rsid w:val="008D5D92"/>
    <w:rsid w:val="008D6D8C"/>
    <w:rsid w:val="008E1BCD"/>
    <w:rsid w:val="008F60EA"/>
    <w:rsid w:val="00905561"/>
    <w:rsid w:val="00944761"/>
    <w:rsid w:val="00955DFC"/>
    <w:rsid w:val="009568AF"/>
    <w:rsid w:val="00965794"/>
    <w:rsid w:val="009672DC"/>
    <w:rsid w:val="00972C2A"/>
    <w:rsid w:val="00974025"/>
    <w:rsid w:val="009800BC"/>
    <w:rsid w:val="0098072E"/>
    <w:rsid w:val="00990025"/>
    <w:rsid w:val="009907D8"/>
    <w:rsid w:val="00991FDE"/>
    <w:rsid w:val="009B1CAD"/>
    <w:rsid w:val="009B2657"/>
    <w:rsid w:val="009C4506"/>
    <w:rsid w:val="009E3770"/>
    <w:rsid w:val="009E3B6C"/>
    <w:rsid w:val="00A0712B"/>
    <w:rsid w:val="00A13F18"/>
    <w:rsid w:val="00A2483B"/>
    <w:rsid w:val="00A3130F"/>
    <w:rsid w:val="00A36007"/>
    <w:rsid w:val="00A36B0F"/>
    <w:rsid w:val="00A36BC4"/>
    <w:rsid w:val="00A36BEF"/>
    <w:rsid w:val="00A409C1"/>
    <w:rsid w:val="00A4345F"/>
    <w:rsid w:val="00A64C41"/>
    <w:rsid w:val="00A7440A"/>
    <w:rsid w:val="00A749E4"/>
    <w:rsid w:val="00A74ECE"/>
    <w:rsid w:val="00A77DFC"/>
    <w:rsid w:val="00AA73EE"/>
    <w:rsid w:val="00AC49ED"/>
    <w:rsid w:val="00AC7D32"/>
    <w:rsid w:val="00AD7FB7"/>
    <w:rsid w:val="00AE11A3"/>
    <w:rsid w:val="00AE2A0A"/>
    <w:rsid w:val="00AE77AE"/>
    <w:rsid w:val="00B20604"/>
    <w:rsid w:val="00B2602C"/>
    <w:rsid w:val="00B3459F"/>
    <w:rsid w:val="00B46397"/>
    <w:rsid w:val="00B62206"/>
    <w:rsid w:val="00B63843"/>
    <w:rsid w:val="00B63DD7"/>
    <w:rsid w:val="00B657B6"/>
    <w:rsid w:val="00B81180"/>
    <w:rsid w:val="00B82943"/>
    <w:rsid w:val="00B84CF5"/>
    <w:rsid w:val="00B858F0"/>
    <w:rsid w:val="00B85E0D"/>
    <w:rsid w:val="00B93ADC"/>
    <w:rsid w:val="00BA217C"/>
    <w:rsid w:val="00BA2EB5"/>
    <w:rsid w:val="00BC321F"/>
    <w:rsid w:val="00BD78E8"/>
    <w:rsid w:val="00BE06BB"/>
    <w:rsid w:val="00BF1265"/>
    <w:rsid w:val="00BF169A"/>
    <w:rsid w:val="00C03899"/>
    <w:rsid w:val="00C06FFA"/>
    <w:rsid w:val="00C14EB3"/>
    <w:rsid w:val="00C15471"/>
    <w:rsid w:val="00C23BEF"/>
    <w:rsid w:val="00C50280"/>
    <w:rsid w:val="00C563C4"/>
    <w:rsid w:val="00C700DF"/>
    <w:rsid w:val="00C7202A"/>
    <w:rsid w:val="00C73ED1"/>
    <w:rsid w:val="00C75FD2"/>
    <w:rsid w:val="00C94447"/>
    <w:rsid w:val="00CB3D21"/>
    <w:rsid w:val="00CD0BA4"/>
    <w:rsid w:val="00CD3D11"/>
    <w:rsid w:val="00CD5029"/>
    <w:rsid w:val="00CD7CC8"/>
    <w:rsid w:val="00CE1AFD"/>
    <w:rsid w:val="00CE33CA"/>
    <w:rsid w:val="00CF2B74"/>
    <w:rsid w:val="00D01EFA"/>
    <w:rsid w:val="00D1265B"/>
    <w:rsid w:val="00D25A90"/>
    <w:rsid w:val="00D37307"/>
    <w:rsid w:val="00D45527"/>
    <w:rsid w:val="00D63DFD"/>
    <w:rsid w:val="00D66542"/>
    <w:rsid w:val="00D71677"/>
    <w:rsid w:val="00D913EE"/>
    <w:rsid w:val="00D936CA"/>
    <w:rsid w:val="00D955FB"/>
    <w:rsid w:val="00DA1B5C"/>
    <w:rsid w:val="00DA5714"/>
    <w:rsid w:val="00DC14D8"/>
    <w:rsid w:val="00DC4421"/>
    <w:rsid w:val="00DD2CE6"/>
    <w:rsid w:val="00DD4C19"/>
    <w:rsid w:val="00DD677E"/>
    <w:rsid w:val="00DE21E2"/>
    <w:rsid w:val="00DF0F79"/>
    <w:rsid w:val="00DF1BDD"/>
    <w:rsid w:val="00DF7872"/>
    <w:rsid w:val="00E067CF"/>
    <w:rsid w:val="00E11D28"/>
    <w:rsid w:val="00E16BD5"/>
    <w:rsid w:val="00E207F1"/>
    <w:rsid w:val="00E27C7B"/>
    <w:rsid w:val="00E368AD"/>
    <w:rsid w:val="00E501C7"/>
    <w:rsid w:val="00E67C79"/>
    <w:rsid w:val="00E70626"/>
    <w:rsid w:val="00E94D72"/>
    <w:rsid w:val="00E951BE"/>
    <w:rsid w:val="00E960B0"/>
    <w:rsid w:val="00EA09AC"/>
    <w:rsid w:val="00EA157F"/>
    <w:rsid w:val="00EA5F73"/>
    <w:rsid w:val="00EB3C71"/>
    <w:rsid w:val="00ED2AEB"/>
    <w:rsid w:val="00EE15F5"/>
    <w:rsid w:val="00EF31DA"/>
    <w:rsid w:val="00F02A99"/>
    <w:rsid w:val="00F03AAE"/>
    <w:rsid w:val="00F10DE5"/>
    <w:rsid w:val="00F12087"/>
    <w:rsid w:val="00F179CB"/>
    <w:rsid w:val="00F203B6"/>
    <w:rsid w:val="00F21A91"/>
    <w:rsid w:val="00F22C0A"/>
    <w:rsid w:val="00F348AD"/>
    <w:rsid w:val="00F35A26"/>
    <w:rsid w:val="00F362D4"/>
    <w:rsid w:val="00F369CF"/>
    <w:rsid w:val="00F42F03"/>
    <w:rsid w:val="00F43581"/>
    <w:rsid w:val="00F527BF"/>
    <w:rsid w:val="00F542BB"/>
    <w:rsid w:val="00F558F4"/>
    <w:rsid w:val="00F65117"/>
    <w:rsid w:val="00F95126"/>
    <w:rsid w:val="00F97268"/>
    <w:rsid w:val="00FB1E04"/>
    <w:rsid w:val="00FD77A7"/>
    <w:rsid w:val="00FE5027"/>
    <w:rsid w:val="00FF13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1B90B"/>
  <w15:chartTrackingRefBased/>
  <w15:docId w15:val="{A4CBE58E-CBC4-42FC-A2E2-368A1351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626"/>
    <w:pPr>
      <w:spacing w:line="276" w:lineRule="auto"/>
    </w:pPr>
    <w:rPr>
      <w:rFonts w:eastAsiaTheme="minorEastAsia"/>
      <w:sz w:val="21"/>
      <w:szCs w:val="21"/>
    </w:rPr>
  </w:style>
  <w:style w:type="paragraph" w:styleId="Titre1">
    <w:name w:val="heading 1"/>
    <w:basedOn w:val="Normal"/>
    <w:next w:val="Normal"/>
    <w:link w:val="Titre1Car"/>
    <w:uiPriority w:val="9"/>
    <w:qFormat/>
    <w:rsid w:val="006463F4"/>
    <w:pPr>
      <w:keepNext/>
      <w:keepLines/>
      <w:pBdr>
        <w:bottom w:val="single" w:sz="4" w:space="2" w:color="2F5496" w:themeColor="accent1" w:themeShade="BF"/>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unhideWhenUsed/>
    <w:qFormat/>
    <w:rsid w:val="006463F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Titre3">
    <w:name w:val="heading 3"/>
    <w:basedOn w:val="Normal"/>
    <w:next w:val="Normal"/>
    <w:link w:val="Titre3Car"/>
    <w:uiPriority w:val="9"/>
    <w:unhideWhenUsed/>
    <w:qFormat/>
    <w:rsid w:val="006463F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Titre4">
    <w:name w:val="heading 4"/>
    <w:basedOn w:val="Normal"/>
    <w:next w:val="Normal"/>
    <w:link w:val="Titre4Car"/>
    <w:uiPriority w:val="9"/>
    <w:unhideWhenUsed/>
    <w:qFormat/>
    <w:rsid w:val="006463F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Titre5">
    <w:name w:val="heading 5"/>
    <w:basedOn w:val="Normal"/>
    <w:next w:val="Normal"/>
    <w:link w:val="Titre5Car"/>
    <w:uiPriority w:val="9"/>
    <w:unhideWhenUsed/>
    <w:qFormat/>
    <w:rsid w:val="006463F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Titre6">
    <w:name w:val="heading 6"/>
    <w:basedOn w:val="Normal"/>
    <w:next w:val="Normal"/>
    <w:link w:val="Titre6Car"/>
    <w:uiPriority w:val="9"/>
    <w:semiHidden/>
    <w:unhideWhenUsed/>
    <w:qFormat/>
    <w:rsid w:val="006463F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itre7">
    <w:name w:val="heading 7"/>
    <w:basedOn w:val="Normal"/>
    <w:next w:val="Normal"/>
    <w:link w:val="Titre7Car"/>
    <w:uiPriority w:val="9"/>
    <w:semiHidden/>
    <w:unhideWhenUsed/>
    <w:qFormat/>
    <w:rsid w:val="006463F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itre8">
    <w:name w:val="heading 8"/>
    <w:basedOn w:val="Normal"/>
    <w:next w:val="Normal"/>
    <w:link w:val="Titre8Car"/>
    <w:uiPriority w:val="9"/>
    <w:semiHidden/>
    <w:unhideWhenUsed/>
    <w:qFormat/>
    <w:rsid w:val="006463F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itre9">
    <w:name w:val="heading 9"/>
    <w:basedOn w:val="Normal"/>
    <w:next w:val="Normal"/>
    <w:link w:val="Titre9Car"/>
    <w:uiPriority w:val="9"/>
    <w:semiHidden/>
    <w:unhideWhenUsed/>
    <w:qFormat/>
    <w:rsid w:val="006463F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63F4"/>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rsid w:val="006463F4"/>
    <w:rPr>
      <w:rFonts w:asciiTheme="majorHAnsi" w:eastAsiaTheme="majorEastAsia" w:hAnsiTheme="majorHAnsi" w:cstheme="majorBidi"/>
      <w:color w:val="ED7D31" w:themeColor="accent2"/>
      <w:sz w:val="36"/>
      <w:szCs w:val="36"/>
    </w:rPr>
  </w:style>
  <w:style w:type="character" w:customStyle="1" w:styleId="Titre3Car">
    <w:name w:val="Titre 3 Car"/>
    <w:basedOn w:val="Policepardfaut"/>
    <w:link w:val="Titre3"/>
    <w:uiPriority w:val="9"/>
    <w:rsid w:val="006463F4"/>
    <w:rPr>
      <w:rFonts w:asciiTheme="majorHAnsi" w:eastAsiaTheme="majorEastAsia" w:hAnsiTheme="majorHAnsi" w:cstheme="majorBidi"/>
      <w:color w:val="C45911" w:themeColor="accent2" w:themeShade="BF"/>
      <w:sz w:val="32"/>
      <w:szCs w:val="32"/>
    </w:rPr>
  </w:style>
  <w:style w:type="character" w:customStyle="1" w:styleId="Titre4Car">
    <w:name w:val="Titre 4 Car"/>
    <w:basedOn w:val="Policepardfaut"/>
    <w:link w:val="Titre4"/>
    <w:uiPriority w:val="9"/>
    <w:rsid w:val="006463F4"/>
    <w:rPr>
      <w:rFonts w:asciiTheme="majorHAnsi" w:eastAsiaTheme="majorEastAsia" w:hAnsiTheme="majorHAnsi" w:cstheme="majorBidi"/>
      <w:i/>
      <w:iCs/>
      <w:color w:val="833C0B" w:themeColor="accent2" w:themeShade="80"/>
      <w:sz w:val="28"/>
      <w:szCs w:val="28"/>
    </w:rPr>
  </w:style>
  <w:style w:type="character" w:customStyle="1" w:styleId="Titre5Car">
    <w:name w:val="Titre 5 Car"/>
    <w:basedOn w:val="Policepardfaut"/>
    <w:link w:val="Titre5"/>
    <w:uiPriority w:val="9"/>
    <w:rsid w:val="006463F4"/>
    <w:rPr>
      <w:rFonts w:asciiTheme="majorHAnsi" w:eastAsiaTheme="majorEastAsia" w:hAnsiTheme="majorHAnsi" w:cstheme="majorBidi"/>
      <w:color w:val="C45911" w:themeColor="accent2" w:themeShade="BF"/>
      <w:sz w:val="24"/>
      <w:szCs w:val="24"/>
    </w:rPr>
  </w:style>
  <w:style w:type="character" w:customStyle="1" w:styleId="Titre6Car">
    <w:name w:val="Titre 6 Car"/>
    <w:basedOn w:val="Policepardfaut"/>
    <w:link w:val="Titre6"/>
    <w:uiPriority w:val="9"/>
    <w:semiHidden/>
    <w:rsid w:val="006463F4"/>
    <w:rPr>
      <w:rFonts w:asciiTheme="majorHAnsi" w:eastAsiaTheme="majorEastAsia" w:hAnsiTheme="majorHAnsi" w:cstheme="majorBidi"/>
      <w:i/>
      <w:iCs/>
      <w:color w:val="833C0B" w:themeColor="accent2" w:themeShade="80"/>
      <w:sz w:val="24"/>
      <w:szCs w:val="24"/>
    </w:rPr>
  </w:style>
  <w:style w:type="character" w:customStyle="1" w:styleId="Titre7Car">
    <w:name w:val="Titre 7 Car"/>
    <w:basedOn w:val="Policepardfaut"/>
    <w:link w:val="Titre7"/>
    <w:uiPriority w:val="9"/>
    <w:semiHidden/>
    <w:rsid w:val="006463F4"/>
    <w:rPr>
      <w:rFonts w:asciiTheme="majorHAnsi" w:eastAsiaTheme="majorEastAsia" w:hAnsiTheme="majorHAnsi" w:cstheme="majorBidi"/>
      <w:b/>
      <w:bCs/>
      <w:color w:val="833C0B" w:themeColor="accent2" w:themeShade="80"/>
    </w:rPr>
  </w:style>
  <w:style w:type="character" w:customStyle="1" w:styleId="Titre8Car">
    <w:name w:val="Titre 8 Car"/>
    <w:basedOn w:val="Policepardfaut"/>
    <w:link w:val="Titre8"/>
    <w:uiPriority w:val="9"/>
    <w:semiHidden/>
    <w:rsid w:val="006463F4"/>
    <w:rPr>
      <w:rFonts w:asciiTheme="majorHAnsi" w:eastAsiaTheme="majorEastAsia" w:hAnsiTheme="majorHAnsi" w:cstheme="majorBidi"/>
      <w:color w:val="833C0B" w:themeColor="accent2" w:themeShade="80"/>
    </w:rPr>
  </w:style>
  <w:style w:type="character" w:customStyle="1" w:styleId="Titre9Car">
    <w:name w:val="Titre 9 Car"/>
    <w:basedOn w:val="Policepardfaut"/>
    <w:link w:val="Titre9"/>
    <w:uiPriority w:val="9"/>
    <w:semiHidden/>
    <w:rsid w:val="006463F4"/>
    <w:rPr>
      <w:rFonts w:asciiTheme="majorHAnsi" w:eastAsiaTheme="majorEastAsia" w:hAnsiTheme="majorHAnsi" w:cstheme="majorBidi"/>
      <w:i/>
      <w:iCs/>
      <w:color w:val="833C0B" w:themeColor="accent2" w:themeShade="80"/>
    </w:rPr>
  </w:style>
  <w:style w:type="paragraph" w:styleId="Sansinterligne">
    <w:name w:val="No Spacing"/>
    <w:uiPriority w:val="1"/>
    <w:qFormat/>
    <w:rsid w:val="006463F4"/>
    <w:pPr>
      <w:spacing w:after="0" w:line="240" w:lineRule="auto"/>
    </w:pPr>
    <w:rPr>
      <w:rFonts w:eastAsiaTheme="minorEastAsia"/>
      <w:sz w:val="21"/>
      <w:szCs w:val="21"/>
    </w:rPr>
  </w:style>
  <w:style w:type="paragraph" w:styleId="En-tte">
    <w:name w:val="header"/>
    <w:basedOn w:val="Normal"/>
    <w:link w:val="En-tteCar"/>
    <w:uiPriority w:val="99"/>
    <w:unhideWhenUsed/>
    <w:rsid w:val="006463F4"/>
    <w:pPr>
      <w:tabs>
        <w:tab w:val="center" w:pos="4536"/>
        <w:tab w:val="right" w:pos="9072"/>
      </w:tabs>
    </w:pPr>
  </w:style>
  <w:style w:type="character" w:customStyle="1" w:styleId="En-tteCar">
    <w:name w:val="En-tête Car"/>
    <w:basedOn w:val="Policepardfaut"/>
    <w:link w:val="En-tte"/>
    <w:uiPriority w:val="99"/>
    <w:rsid w:val="006463F4"/>
    <w:rPr>
      <w:rFonts w:eastAsiaTheme="minorEastAsia"/>
      <w:sz w:val="21"/>
      <w:szCs w:val="21"/>
    </w:rPr>
  </w:style>
  <w:style w:type="paragraph" w:styleId="Titre">
    <w:name w:val="Title"/>
    <w:basedOn w:val="Normal"/>
    <w:next w:val="Normal"/>
    <w:link w:val="TitreCar"/>
    <w:uiPriority w:val="10"/>
    <w:qFormat/>
    <w:rsid w:val="006463F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6463F4"/>
    <w:rPr>
      <w:rFonts w:asciiTheme="majorHAnsi" w:eastAsiaTheme="majorEastAsia" w:hAnsiTheme="majorHAnsi" w:cstheme="majorBidi"/>
      <w:color w:val="262626" w:themeColor="text1" w:themeTint="D9"/>
      <w:sz w:val="96"/>
      <w:szCs w:val="96"/>
    </w:rPr>
  </w:style>
  <w:style w:type="paragraph" w:styleId="Lgende">
    <w:name w:val="caption"/>
    <w:basedOn w:val="Normal"/>
    <w:next w:val="Normal"/>
    <w:uiPriority w:val="35"/>
    <w:unhideWhenUsed/>
    <w:qFormat/>
    <w:rsid w:val="006463F4"/>
    <w:pPr>
      <w:spacing w:line="240" w:lineRule="auto"/>
    </w:pPr>
    <w:rPr>
      <w:b/>
      <w:bCs/>
      <w:color w:val="404040" w:themeColor="text1" w:themeTint="BF"/>
      <w:sz w:val="16"/>
      <w:szCs w:val="16"/>
    </w:rPr>
  </w:style>
  <w:style w:type="paragraph" w:styleId="Sous-titre">
    <w:name w:val="Subtitle"/>
    <w:basedOn w:val="Normal"/>
    <w:next w:val="Normal"/>
    <w:link w:val="Sous-titreCar"/>
    <w:uiPriority w:val="11"/>
    <w:qFormat/>
    <w:rsid w:val="006463F4"/>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6463F4"/>
    <w:rPr>
      <w:rFonts w:eastAsiaTheme="minorEastAsia"/>
      <w:caps/>
      <w:color w:val="404040" w:themeColor="text1" w:themeTint="BF"/>
      <w:spacing w:val="20"/>
      <w:sz w:val="28"/>
      <w:szCs w:val="28"/>
    </w:rPr>
  </w:style>
  <w:style w:type="character" w:styleId="lev">
    <w:name w:val="Strong"/>
    <w:basedOn w:val="Policepardfaut"/>
    <w:uiPriority w:val="22"/>
    <w:qFormat/>
    <w:rsid w:val="006463F4"/>
    <w:rPr>
      <w:b/>
      <w:bCs/>
    </w:rPr>
  </w:style>
  <w:style w:type="character" w:styleId="Accentuation">
    <w:name w:val="Emphasis"/>
    <w:basedOn w:val="Policepardfaut"/>
    <w:uiPriority w:val="20"/>
    <w:qFormat/>
    <w:rsid w:val="006463F4"/>
    <w:rPr>
      <w:i/>
      <w:iCs/>
      <w:color w:val="000000" w:themeColor="text1"/>
    </w:rPr>
  </w:style>
  <w:style w:type="paragraph" w:styleId="Citation">
    <w:name w:val="Quote"/>
    <w:basedOn w:val="Normal"/>
    <w:next w:val="Normal"/>
    <w:link w:val="CitationCar"/>
    <w:uiPriority w:val="29"/>
    <w:qFormat/>
    <w:rsid w:val="006463F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6463F4"/>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6463F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6463F4"/>
    <w:rPr>
      <w:rFonts w:asciiTheme="majorHAnsi" w:eastAsiaTheme="majorEastAsia" w:hAnsiTheme="majorHAnsi" w:cstheme="majorBidi"/>
      <w:sz w:val="24"/>
      <w:szCs w:val="24"/>
    </w:rPr>
  </w:style>
  <w:style w:type="character" w:styleId="Accentuationlgre">
    <w:name w:val="Subtle Emphasis"/>
    <w:basedOn w:val="Policepardfaut"/>
    <w:uiPriority w:val="19"/>
    <w:qFormat/>
    <w:rsid w:val="006463F4"/>
    <w:rPr>
      <w:i/>
      <w:iCs/>
      <w:color w:val="595959" w:themeColor="text1" w:themeTint="A6"/>
    </w:rPr>
  </w:style>
  <w:style w:type="character" w:styleId="Accentuationintense">
    <w:name w:val="Intense Emphasis"/>
    <w:basedOn w:val="Policepardfaut"/>
    <w:uiPriority w:val="21"/>
    <w:qFormat/>
    <w:rsid w:val="006463F4"/>
    <w:rPr>
      <w:b/>
      <w:bCs/>
      <w:i/>
      <w:iCs/>
      <w:caps w:val="0"/>
      <w:smallCaps w:val="0"/>
      <w:strike w:val="0"/>
      <w:dstrike w:val="0"/>
      <w:color w:val="ED7D31" w:themeColor="accent2"/>
    </w:rPr>
  </w:style>
  <w:style w:type="character" w:styleId="Rfrencelgre">
    <w:name w:val="Subtle Reference"/>
    <w:basedOn w:val="Policepardfaut"/>
    <w:uiPriority w:val="31"/>
    <w:qFormat/>
    <w:rsid w:val="006463F4"/>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6463F4"/>
    <w:rPr>
      <w:b/>
      <w:bCs/>
      <w:caps w:val="0"/>
      <w:smallCaps/>
      <w:color w:val="auto"/>
      <w:spacing w:val="0"/>
      <w:u w:val="single"/>
    </w:rPr>
  </w:style>
  <w:style w:type="character" w:styleId="Titredulivre">
    <w:name w:val="Book Title"/>
    <w:basedOn w:val="Policepardfaut"/>
    <w:uiPriority w:val="33"/>
    <w:qFormat/>
    <w:rsid w:val="006463F4"/>
    <w:rPr>
      <w:b/>
      <w:bCs/>
      <w:caps w:val="0"/>
      <w:smallCaps/>
      <w:spacing w:val="0"/>
    </w:rPr>
  </w:style>
  <w:style w:type="paragraph" w:styleId="En-ttedetabledesmatires">
    <w:name w:val="TOC Heading"/>
    <w:basedOn w:val="Titre1"/>
    <w:next w:val="Normal"/>
    <w:uiPriority w:val="39"/>
    <w:unhideWhenUsed/>
    <w:qFormat/>
    <w:rsid w:val="006463F4"/>
    <w:pPr>
      <w:outlineLvl w:val="9"/>
    </w:pPr>
  </w:style>
  <w:style w:type="paragraph" w:styleId="TM2">
    <w:name w:val="toc 2"/>
    <w:basedOn w:val="Normal"/>
    <w:next w:val="Normal"/>
    <w:autoRedefine/>
    <w:uiPriority w:val="39"/>
    <w:unhideWhenUsed/>
    <w:rsid w:val="006463F4"/>
    <w:pPr>
      <w:spacing w:after="0"/>
      <w:ind w:left="210"/>
    </w:pPr>
    <w:rPr>
      <w:rFonts w:asciiTheme="majorHAnsi" w:hAnsiTheme="majorHAnsi" w:cstheme="minorHAnsi"/>
      <w:smallCaps/>
      <w:sz w:val="22"/>
      <w:szCs w:val="20"/>
    </w:rPr>
  </w:style>
  <w:style w:type="character" w:styleId="Lienhypertexte">
    <w:name w:val="Hyperlink"/>
    <w:basedOn w:val="Policepardfaut"/>
    <w:uiPriority w:val="99"/>
    <w:unhideWhenUsed/>
    <w:rsid w:val="006463F4"/>
    <w:rPr>
      <w:color w:val="0563C1" w:themeColor="hyperlink"/>
      <w:u w:val="single"/>
    </w:rPr>
  </w:style>
  <w:style w:type="paragraph" w:styleId="TM3">
    <w:name w:val="toc 3"/>
    <w:basedOn w:val="Normal"/>
    <w:next w:val="Normal"/>
    <w:autoRedefine/>
    <w:uiPriority w:val="39"/>
    <w:unhideWhenUsed/>
    <w:rsid w:val="006463F4"/>
    <w:pPr>
      <w:spacing w:after="0"/>
      <w:ind w:left="420"/>
    </w:pPr>
    <w:rPr>
      <w:rFonts w:cstheme="minorHAnsi"/>
      <w:i/>
      <w:iCs/>
      <w:sz w:val="20"/>
      <w:szCs w:val="20"/>
    </w:rPr>
  </w:style>
  <w:style w:type="paragraph" w:styleId="TM1">
    <w:name w:val="toc 1"/>
    <w:basedOn w:val="Normal"/>
    <w:next w:val="Normal"/>
    <w:autoRedefine/>
    <w:uiPriority w:val="39"/>
    <w:unhideWhenUsed/>
    <w:rsid w:val="006463F4"/>
    <w:pPr>
      <w:spacing w:before="120" w:after="120"/>
    </w:pPr>
    <w:rPr>
      <w:rFonts w:asciiTheme="majorHAnsi" w:hAnsiTheme="majorHAnsi" w:cstheme="minorHAnsi"/>
      <w:bCs/>
      <w:caps/>
      <w:sz w:val="24"/>
      <w:szCs w:val="20"/>
    </w:rPr>
  </w:style>
  <w:style w:type="paragraph" w:styleId="TM4">
    <w:name w:val="toc 4"/>
    <w:basedOn w:val="Normal"/>
    <w:next w:val="Normal"/>
    <w:autoRedefine/>
    <w:uiPriority w:val="39"/>
    <w:unhideWhenUsed/>
    <w:rsid w:val="006463F4"/>
    <w:pPr>
      <w:spacing w:after="0"/>
      <w:ind w:left="630"/>
    </w:pPr>
    <w:rPr>
      <w:rFonts w:cstheme="minorHAnsi"/>
      <w:i/>
      <w:sz w:val="18"/>
      <w:szCs w:val="18"/>
    </w:rPr>
  </w:style>
  <w:style w:type="paragraph" w:styleId="TM5">
    <w:name w:val="toc 5"/>
    <w:basedOn w:val="Normal"/>
    <w:next w:val="Normal"/>
    <w:autoRedefine/>
    <w:uiPriority w:val="39"/>
    <w:unhideWhenUsed/>
    <w:rsid w:val="006463F4"/>
    <w:pPr>
      <w:spacing w:after="0"/>
      <w:ind w:left="840"/>
    </w:pPr>
    <w:rPr>
      <w:rFonts w:cstheme="minorHAnsi"/>
      <w:sz w:val="18"/>
      <w:szCs w:val="18"/>
    </w:rPr>
  </w:style>
  <w:style w:type="paragraph" w:styleId="TM6">
    <w:name w:val="toc 6"/>
    <w:basedOn w:val="Normal"/>
    <w:next w:val="Normal"/>
    <w:autoRedefine/>
    <w:uiPriority w:val="39"/>
    <w:unhideWhenUsed/>
    <w:rsid w:val="006463F4"/>
    <w:pPr>
      <w:spacing w:after="0"/>
      <w:ind w:left="1050"/>
    </w:pPr>
    <w:rPr>
      <w:rFonts w:cstheme="minorHAnsi"/>
      <w:sz w:val="18"/>
      <w:szCs w:val="18"/>
    </w:rPr>
  </w:style>
  <w:style w:type="paragraph" w:styleId="TM7">
    <w:name w:val="toc 7"/>
    <w:basedOn w:val="Normal"/>
    <w:next w:val="Normal"/>
    <w:autoRedefine/>
    <w:uiPriority w:val="39"/>
    <w:unhideWhenUsed/>
    <w:rsid w:val="006463F4"/>
    <w:pPr>
      <w:spacing w:after="0"/>
      <w:ind w:left="1260"/>
    </w:pPr>
    <w:rPr>
      <w:rFonts w:cstheme="minorHAnsi"/>
      <w:sz w:val="18"/>
      <w:szCs w:val="18"/>
    </w:rPr>
  </w:style>
  <w:style w:type="paragraph" w:styleId="TM8">
    <w:name w:val="toc 8"/>
    <w:basedOn w:val="Normal"/>
    <w:next w:val="Normal"/>
    <w:autoRedefine/>
    <w:uiPriority w:val="39"/>
    <w:unhideWhenUsed/>
    <w:rsid w:val="006463F4"/>
    <w:pPr>
      <w:spacing w:after="0"/>
      <w:ind w:left="1470"/>
    </w:pPr>
    <w:rPr>
      <w:rFonts w:cstheme="minorHAnsi"/>
      <w:sz w:val="18"/>
      <w:szCs w:val="18"/>
    </w:rPr>
  </w:style>
  <w:style w:type="paragraph" w:styleId="TM9">
    <w:name w:val="toc 9"/>
    <w:basedOn w:val="Normal"/>
    <w:next w:val="Normal"/>
    <w:autoRedefine/>
    <w:uiPriority w:val="39"/>
    <w:unhideWhenUsed/>
    <w:rsid w:val="006463F4"/>
    <w:pPr>
      <w:spacing w:after="0"/>
      <w:ind w:left="1680"/>
    </w:pPr>
    <w:rPr>
      <w:rFonts w:cstheme="minorHAnsi"/>
      <w:sz w:val="18"/>
      <w:szCs w:val="18"/>
    </w:rPr>
  </w:style>
  <w:style w:type="paragraph" w:styleId="Paragraphedeliste">
    <w:name w:val="List Paragraph"/>
    <w:basedOn w:val="Normal"/>
    <w:uiPriority w:val="34"/>
    <w:qFormat/>
    <w:rsid w:val="006463F4"/>
    <w:pPr>
      <w:ind w:left="720"/>
      <w:contextualSpacing/>
    </w:pPr>
  </w:style>
  <w:style w:type="paragraph" w:styleId="Pieddepage">
    <w:name w:val="footer"/>
    <w:basedOn w:val="Normal"/>
    <w:link w:val="PieddepageCar"/>
    <w:uiPriority w:val="99"/>
    <w:unhideWhenUsed/>
    <w:rsid w:val="006463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63F4"/>
    <w:rPr>
      <w:rFonts w:eastAsiaTheme="minorEastAsia"/>
      <w:sz w:val="21"/>
      <w:szCs w:val="21"/>
    </w:rPr>
  </w:style>
  <w:style w:type="table" w:styleId="Grilledutableau">
    <w:name w:val="Table Grid"/>
    <w:basedOn w:val="TableauNormal"/>
    <w:uiPriority w:val="39"/>
    <w:rsid w:val="006463F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5">
    <w:name w:val="Plain Table 5"/>
    <w:basedOn w:val="TableauNormal"/>
    <w:uiPriority w:val="45"/>
    <w:rsid w:val="006463F4"/>
    <w:pPr>
      <w:spacing w:after="0" w:line="240" w:lineRule="auto"/>
    </w:pPr>
    <w:rPr>
      <w:rFonts w:eastAsiaTheme="minorEastAsia"/>
      <w:sz w:val="21"/>
      <w:szCs w:val="2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arquedecommentaire">
    <w:name w:val="annotation reference"/>
    <w:basedOn w:val="Policepardfaut"/>
    <w:uiPriority w:val="99"/>
    <w:semiHidden/>
    <w:unhideWhenUsed/>
    <w:rsid w:val="006463F4"/>
    <w:rPr>
      <w:sz w:val="16"/>
      <w:szCs w:val="16"/>
    </w:rPr>
  </w:style>
  <w:style w:type="paragraph" w:styleId="Commentaire">
    <w:name w:val="annotation text"/>
    <w:basedOn w:val="Normal"/>
    <w:link w:val="CommentaireCar"/>
    <w:uiPriority w:val="99"/>
    <w:unhideWhenUsed/>
    <w:rsid w:val="006463F4"/>
    <w:pPr>
      <w:spacing w:line="240" w:lineRule="auto"/>
    </w:pPr>
    <w:rPr>
      <w:sz w:val="20"/>
      <w:szCs w:val="20"/>
    </w:rPr>
  </w:style>
  <w:style w:type="character" w:customStyle="1" w:styleId="CommentaireCar">
    <w:name w:val="Commentaire Car"/>
    <w:basedOn w:val="Policepardfaut"/>
    <w:link w:val="Commentaire"/>
    <w:uiPriority w:val="99"/>
    <w:rsid w:val="006463F4"/>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6463F4"/>
    <w:rPr>
      <w:b/>
      <w:bCs/>
    </w:rPr>
  </w:style>
  <w:style w:type="character" w:customStyle="1" w:styleId="ObjetducommentaireCar">
    <w:name w:val="Objet du commentaire Car"/>
    <w:basedOn w:val="CommentaireCar"/>
    <w:link w:val="Objetducommentaire"/>
    <w:uiPriority w:val="99"/>
    <w:semiHidden/>
    <w:rsid w:val="006463F4"/>
    <w:rPr>
      <w:rFonts w:eastAsiaTheme="minorEastAsia"/>
      <w:b/>
      <w:bCs/>
      <w:sz w:val="20"/>
      <w:szCs w:val="20"/>
    </w:rPr>
  </w:style>
  <w:style w:type="paragraph" w:styleId="Textedebulles">
    <w:name w:val="Balloon Text"/>
    <w:basedOn w:val="Normal"/>
    <w:link w:val="TextedebullesCar"/>
    <w:uiPriority w:val="99"/>
    <w:semiHidden/>
    <w:unhideWhenUsed/>
    <w:rsid w:val="006463F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463F4"/>
    <w:rPr>
      <w:rFonts w:ascii="Segoe UI" w:eastAsiaTheme="minorEastAsia" w:hAnsi="Segoe UI" w:cs="Segoe UI"/>
      <w:sz w:val="18"/>
      <w:szCs w:val="18"/>
    </w:rPr>
  </w:style>
  <w:style w:type="character" w:styleId="Mentionnonrsolue">
    <w:name w:val="Unresolved Mention"/>
    <w:basedOn w:val="Policepardfaut"/>
    <w:uiPriority w:val="99"/>
    <w:semiHidden/>
    <w:unhideWhenUsed/>
    <w:rsid w:val="006463F4"/>
    <w:rPr>
      <w:color w:val="605E5C"/>
      <w:shd w:val="clear" w:color="auto" w:fill="E1DFDD"/>
    </w:rPr>
  </w:style>
  <w:style w:type="table" w:styleId="Tableausimple3">
    <w:name w:val="Plain Table 3"/>
    <w:basedOn w:val="TableauNormal"/>
    <w:uiPriority w:val="43"/>
    <w:rsid w:val="006463F4"/>
    <w:pPr>
      <w:spacing w:after="0" w:line="240" w:lineRule="auto"/>
    </w:pPr>
    <w:rPr>
      <w:rFonts w:eastAsiaTheme="minorEastAsia"/>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eq0j8">
    <w:name w:val="eq0j8"/>
    <w:basedOn w:val="Policepardfaut"/>
    <w:rsid w:val="006463F4"/>
  </w:style>
  <w:style w:type="paragraph" w:styleId="Bibliographie">
    <w:name w:val="Bibliography"/>
    <w:basedOn w:val="Normal"/>
    <w:next w:val="Normal"/>
    <w:uiPriority w:val="37"/>
    <w:unhideWhenUsed/>
    <w:rsid w:val="006463F4"/>
    <w:pPr>
      <w:spacing w:after="0" w:line="240" w:lineRule="auto"/>
      <w:ind w:left="720" w:hanging="720"/>
    </w:pPr>
  </w:style>
  <w:style w:type="paragraph" w:styleId="NormalWeb">
    <w:name w:val="Normal (Web)"/>
    <w:basedOn w:val="Normal"/>
    <w:uiPriority w:val="99"/>
    <w:unhideWhenUsed/>
    <w:rsid w:val="006463F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Liste1Clair-Accentuation3">
    <w:name w:val="List Table 1 Light Accent 3"/>
    <w:basedOn w:val="TableauNormal"/>
    <w:uiPriority w:val="46"/>
    <w:rsid w:val="006463F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simple4">
    <w:name w:val="Plain Table 4"/>
    <w:basedOn w:val="TableauNormal"/>
    <w:uiPriority w:val="44"/>
    <w:rsid w:val="006463F4"/>
    <w:pPr>
      <w:spacing w:after="0" w:line="240" w:lineRule="auto"/>
    </w:pPr>
    <w:rPr>
      <w:rFonts w:eastAsiaTheme="minorEastAsia"/>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desillustrations">
    <w:name w:val="table of figures"/>
    <w:basedOn w:val="Normal"/>
    <w:next w:val="Normal"/>
    <w:uiPriority w:val="99"/>
    <w:unhideWhenUsed/>
    <w:rsid w:val="006463F4"/>
    <w:pPr>
      <w:spacing w:after="0"/>
    </w:pPr>
  </w:style>
  <w:style w:type="table" w:styleId="Tableausimple2">
    <w:name w:val="Plain Table 2"/>
    <w:basedOn w:val="TableauNormal"/>
    <w:uiPriority w:val="42"/>
    <w:rsid w:val="006463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5A622C"/>
    <w:pPr>
      <w:spacing w:after="0" w:line="240" w:lineRule="auto"/>
    </w:pPr>
    <w:rPr>
      <w:rFonts w:eastAsiaTheme="minorEastAsia"/>
      <w:sz w:val="21"/>
      <w:szCs w:val="21"/>
    </w:rPr>
  </w:style>
  <w:style w:type="character" w:styleId="Numrodeligne">
    <w:name w:val="line number"/>
    <w:basedOn w:val="Policepardfaut"/>
    <w:uiPriority w:val="99"/>
    <w:semiHidden/>
    <w:unhideWhenUsed/>
    <w:rsid w:val="00991FDE"/>
  </w:style>
  <w:style w:type="character" w:styleId="Lienhypertextesuivivisit">
    <w:name w:val="FollowedHyperlink"/>
    <w:basedOn w:val="Policepardfaut"/>
    <w:uiPriority w:val="99"/>
    <w:semiHidden/>
    <w:unhideWhenUsed/>
    <w:rsid w:val="00801F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01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mabiome.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romma.f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project.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9DA1A-2B41-405C-8444-DFBF7A750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44</Pages>
  <Words>74201</Words>
  <Characters>408110</Characters>
  <Application>Microsoft Office Word</Application>
  <DocSecurity>0</DocSecurity>
  <Lines>3400</Lines>
  <Paragraphs>962</Paragraphs>
  <ScaleCrop>false</ScaleCrop>
  <HeadingPairs>
    <vt:vector size="2" baseType="variant">
      <vt:variant>
        <vt:lpstr>Titre</vt:lpstr>
      </vt:variant>
      <vt:variant>
        <vt:i4>1</vt:i4>
      </vt:variant>
    </vt:vector>
  </HeadingPairs>
  <TitlesOfParts>
    <vt:vector size="1" baseType="lpstr">
      <vt:lpstr/>
    </vt:vector>
  </TitlesOfParts>
  <Company>USMB</Company>
  <LinksUpToDate>false</LinksUpToDate>
  <CharactersWithSpaces>481349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Beaumelle</dc:creator>
  <cp:keywords/>
  <dc:description/>
  <cp:lastModifiedBy>camille Beaumelle</cp:lastModifiedBy>
  <cp:revision>11</cp:revision>
  <cp:lastPrinted>2024-06-21T07:52:00Z</cp:lastPrinted>
  <dcterms:created xsi:type="dcterms:W3CDTF">2024-07-11T15:46:00Z</dcterms:created>
  <dcterms:modified xsi:type="dcterms:W3CDTF">2024-07-21T17:23:00Z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id="hYqkjRdb"/&gt;&lt;style id="http://www.zotero.org/styles/international-journal-for-parasitology"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